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4734"/>
        <w:gridCol w:w="180"/>
        <w:gridCol w:w="4950"/>
        <w:gridCol w:w="4338"/>
      </w:tblGrid>
      <w:tr w:rsidR="006864CA" w:rsidTr="00F638E7">
        <w:trPr>
          <w:trHeight w:val="7200"/>
        </w:trPr>
        <w:tc>
          <w:tcPr>
            <w:tcW w:w="9468" w:type="dxa"/>
            <w:gridSpan w:val="2"/>
            <w:vAlign w:val="center"/>
          </w:tcPr>
          <w:p w:rsidR="006864CA" w:rsidRDefault="00F638E7" w:rsidP="00CC555D">
            <w:pPr>
              <w:jc w:val="center"/>
              <w:rPr>
                <w:noProof/>
              </w:rPr>
            </w:pPr>
            <w:r w:rsidRPr="00B45AC6">
              <w:rPr>
                <w:rFonts w:ascii="Calibri" w:eastAsia="Times New Roman" w:hAnsi="Calibri" w:cs="Arial"/>
                <w:noProof/>
              </w:rPr>
              <mc:AlternateContent>
                <mc:Choice Requires="wps">
                  <w:drawing>
                    <wp:anchor distT="0" distB="0" distL="114300" distR="114300" simplePos="0" relativeHeight="251737599" behindDoc="0" locked="0" layoutInCell="1" allowOverlap="1" wp14:anchorId="397BDA18" wp14:editId="5F6AA934">
                      <wp:simplePos x="0" y="0"/>
                      <wp:positionH relativeFrom="column">
                        <wp:posOffset>4123055</wp:posOffset>
                      </wp:positionH>
                      <wp:positionV relativeFrom="paragraph">
                        <wp:posOffset>2266950</wp:posOffset>
                      </wp:positionV>
                      <wp:extent cx="1800225" cy="876300"/>
                      <wp:effectExtent l="57150" t="57150" r="47625" b="571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76300"/>
                              </a:xfrm>
                              <a:prstGeom prst="rect">
                                <a:avLst/>
                              </a:prstGeom>
                              <a:solidFill>
                                <a:srgbClr val="FFFFFF"/>
                              </a:solidFill>
                              <a:ln w="9525">
                                <a:solidFill>
                                  <a:srgbClr val="92D050"/>
                                </a:solidFill>
                                <a:prstDash val="sysDot"/>
                                <a:miter lim="800000"/>
                                <a:headEnd/>
                                <a:tailEnd/>
                              </a:ln>
                              <a:scene3d>
                                <a:camera prst="orthographicFront"/>
                                <a:lightRig rig="threePt" dir="t"/>
                              </a:scene3d>
                              <a:sp3d>
                                <a:bevelT w="152400" h="50800" prst="softRound"/>
                              </a:sp3d>
                            </wps:spPr>
                            <wps:txbx>
                              <w:txbxContent>
                                <w:p w:rsidR="00A56D70" w:rsidRPr="006E4BE7" w:rsidRDefault="00B82949" w:rsidP="00CC555D">
                                  <w:pPr>
                                    <w:jc w:val="center"/>
                                    <w:rPr>
                                      <w:sz w:val="24"/>
                                      <w:szCs w:val="24"/>
                                    </w:rPr>
                                  </w:pPr>
                                  <w:r>
                                    <w:rPr>
                                      <w:sz w:val="24"/>
                                      <w:szCs w:val="24"/>
                                    </w:rPr>
                                    <w:t>903</w:t>
                                  </w:r>
                                  <w:r w:rsidR="001D1C8A" w:rsidRPr="006E4BE7">
                                    <w:rPr>
                                      <w:sz w:val="24"/>
                                      <w:szCs w:val="24"/>
                                    </w:rPr>
                                    <w:t xml:space="preserve"> </w:t>
                                  </w:r>
                                  <w:r w:rsidR="00A56D70" w:rsidRPr="006E4BE7">
                                    <w:rPr>
                                      <w:sz w:val="24"/>
                                      <w:szCs w:val="24"/>
                                    </w:rPr>
                                    <w:t>Total to Date</w:t>
                                  </w:r>
                                </w:p>
                                <w:p w:rsidR="00A56D70" w:rsidRPr="006E4BE7" w:rsidRDefault="00B82949" w:rsidP="00CC555D">
                                  <w:pPr>
                                    <w:jc w:val="center"/>
                                    <w:rPr>
                                      <w:sz w:val="24"/>
                                      <w:szCs w:val="24"/>
                                    </w:rPr>
                                  </w:pPr>
                                  <w:r>
                                    <w:rPr>
                                      <w:sz w:val="24"/>
                                      <w:szCs w:val="24"/>
                                    </w:rPr>
                                    <w:t>105</w:t>
                                  </w:r>
                                  <w:r w:rsidR="00A56D70" w:rsidRPr="006E4BE7">
                                    <w:rPr>
                                      <w:sz w:val="24"/>
                                      <w:szCs w:val="24"/>
                                    </w:rPr>
                                    <w:t>% of initiative cumulative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BDA18" id="_x0000_t202" coordsize="21600,21600" o:spt="202" path="m,l,21600r21600,l21600,xe">
                      <v:stroke joinstyle="miter"/>
                      <v:path gradientshapeok="t" o:connecttype="rect"/>
                    </v:shapetype>
                    <v:shape id="Text Box 2" o:spid="_x0000_s1026" type="#_x0000_t202" style="position:absolute;left:0;text-align:left;margin-left:324.65pt;margin-top:178.5pt;width:141.75pt;height:69pt;z-index:251737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" strokecolor="#92d050">
                      <v:stroke dashstyle="1 1"/>
                      <v:textbox>
                        <w:txbxContent>
                          <w:p w:rsidR="00A56D70" w:rsidRPr="006E4BE7" w:rsidRDefault="00B82949" w:rsidP="00CC555D">
                            <w:pPr>
                              <w:jc w:val="center"/>
                              <w:rPr>
                                <w:sz w:val="24"/>
                                <w:szCs w:val="24"/>
                              </w:rPr>
                            </w:pPr>
                            <w:r>
                              <w:rPr>
                                <w:sz w:val="24"/>
                                <w:szCs w:val="24"/>
                              </w:rPr>
                              <w:t>903</w:t>
                            </w:r>
                            <w:r w:rsidR="001D1C8A" w:rsidRPr="006E4BE7">
                              <w:rPr>
                                <w:sz w:val="24"/>
                                <w:szCs w:val="24"/>
                              </w:rPr>
                              <w:t xml:space="preserve"> </w:t>
                            </w:r>
                            <w:r w:rsidR="00A56D70" w:rsidRPr="006E4BE7">
                              <w:rPr>
                                <w:sz w:val="24"/>
                                <w:szCs w:val="24"/>
                              </w:rPr>
                              <w:t>Total to Date</w:t>
                            </w:r>
                          </w:p>
                          <w:p w:rsidR="00A56D70" w:rsidRPr="006E4BE7" w:rsidRDefault="00B82949" w:rsidP="00CC555D">
                            <w:pPr>
                              <w:jc w:val="center"/>
                              <w:rPr>
                                <w:sz w:val="24"/>
                                <w:szCs w:val="24"/>
                              </w:rPr>
                            </w:pPr>
                            <w:r>
                              <w:rPr>
                                <w:sz w:val="24"/>
                                <w:szCs w:val="24"/>
                              </w:rPr>
                              <w:t>105</w:t>
                            </w:r>
                            <w:r w:rsidR="00A56D70" w:rsidRPr="006E4BE7">
                              <w:rPr>
                                <w:sz w:val="24"/>
                                <w:szCs w:val="24"/>
                              </w:rPr>
                              <w:t>% of initiative cumulative goal</w:t>
                            </w:r>
                          </w:p>
                        </w:txbxContent>
                      </v:textbox>
                    </v:shape>
                  </w:pict>
                </mc:Fallback>
              </mc:AlternateContent>
            </w:r>
            <w:r>
              <w:rPr>
                <w:noProof/>
              </w:rPr>
              <w:drawing>
                <wp:anchor distT="0" distB="0" distL="114300" distR="114300" simplePos="0" relativeHeight="251735551" behindDoc="0" locked="0" layoutInCell="1" allowOverlap="1" wp14:anchorId="5E904E02" wp14:editId="610D79F1">
                  <wp:simplePos x="0" y="0"/>
                  <wp:positionH relativeFrom="column">
                    <wp:posOffset>-1905</wp:posOffset>
                  </wp:positionH>
                  <wp:positionV relativeFrom="paragraph">
                    <wp:posOffset>41910</wp:posOffset>
                  </wp:positionV>
                  <wp:extent cx="5875020" cy="4480560"/>
                  <wp:effectExtent l="0" t="0" r="11430" b="1524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9468" w:type="dxa"/>
            <w:gridSpan w:val="3"/>
            <w:vAlign w:val="center"/>
          </w:tcPr>
          <w:p w:rsidR="006864CA" w:rsidRDefault="00F638E7" w:rsidP="00CC555D">
            <w:pPr>
              <w:jc w:val="center"/>
              <w:rPr>
                <w:noProof/>
              </w:rPr>
            </w:pPr>
            <w:r>
              <w:rPr>
                <w:noProof/>
              </w:rPr>
              <w:drawing>
                <wp:anchor distT="0" distB="0" distL="114300" distR="114300" simplePos="0" relativeHeight="251736575" behindDoc="0" locked="0" layoutInCell="1" allowOverlap="1" wp14:anchorId="5D0BFCDF" wp14:editId="2FF0ED8D">
                  <wp:simplePos x="0" y="0"/>
                  <wp:positionH relativeFrom="column">
                    <wp:posOffset>76200</wp:posOffset>
                  </wp:positionH>
                  <wp:positionV relativeFrom="paragraph">
                    <wp:posOffset>-3175</wp:posOffset>
                  </wp:positionV>
                  <wp:extent cx="5875020" cy="4480560"/>
                  <wp:effectExtent l="0" t="0" r="11430" b="1524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864CA" w:rsidRDefault="00F638E7" w:rsidP="00CC555D">
            <w:pPr>
              <w:jc w:val="center"/>
              <w:rPr>
                <w:noProof/>
              </w:rPr>
            </w:pPr>
            <w:r w:rsidRPr="00B45AC6">
              <w:rPr>
                <w:rFonts w:ascii="Calibri" w:eastAsia="Times New Roman" w:hAnsi="Calibri" w:cs="Arial"/>
                <w:noProof/>
              </w:rPr>
              <mc:AlternateContent>
                <mc:Choice Requires="wps">
                  <w:drawing>
                    <wp:anchor distT="0" distB="0" distL="114300" distR="114300" simplePos="0" relativeHeight="251738623" behindDoc="0" locked="0" layoutInCell="1" allowOverlap="1" wp14:anchorId="75F9A316" wp14:editId="04F28A51">
                      <wp:simplePos x="0" y="0"/>
                      <wp:positionH relativeFrom="column">
                        <wp:posOffset>3963035</wp:posOffset>
                      </wp:positionH>
                      <wp:positionV relativeFrom="paragraph">
                        <wp:posOffset>1275715</wp:posOffset>
                      </wp:positionV>
                      <wp:extent cx="1790700" cy="866775"/>
                      <wp:effectExtent l="57150" t="57150" r="5715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66775"/>
                              </a:xfrm>
                              <a:prstGeom prst="rect">
                                <a:avLst/>
                              </a:prstGeom>
                              <a:solidFill>
                                <a:srgbClr val="FFFFFF"/>
                              </a:solidFill>
                              <a:ln w="9525">
                                <a:solidFill>
                                  <a:srgbClr val="92D050"/>
                                </a:solidFill>
                                <a:prstDash val="sysDot"/>
                                <a:miter lim="800000"/>
                                <a:headEnd/>
                                <a:tailEnd/>
                              </a:ln>
                              <a:scene3d>
                                <a:camera prst="orthographicFront"/>
                                <a:lightRig rig="threePt" dir="t"/>
                              </a:scene3d>
                              <a:sp3d>
                                <a:bevelT w="152400" h="50800" prst="softRound"/>
                              </a:sp3d>
                            </wps:spPr>
                            <wps:txbx>
                              <w:txbxContent>
                                <w:p w:rsidR="00A56D70" w:rsidRPr="00E43E0F" w:rsidRDefault="00F638E7" w:rsidP="00CC555D">
                                  <w:pPr>
                                    <w:jc w:val="center"/>
                                    <w:rPr>
                                      <w:sz w:val="24"/>
                                      <w:szCs w:val="24"/>
                                    </w:rPr>
                                  </w:pPr>
                                  <w:r>
                                    <w:rPr>
                                      <w:sz w:val="24"/>
                                      <w:szCs w:val="24"/>
                                    </w:rPr>
                                    <w:t>817</w:t>
                                  </w:r>
                                  <w:r w:rsidR="00A56D70" w:rsidRPr="00E43E0F">
                                    <w:rPr>
                                      <w:sz w:val="24"/>
                                      <w:szCs w:val="24"/>
                                    </w:rPr>
                                    <w:t xml:space="preserve"> Total to Date</w:t>
                                  </w:r>
                                </w:p>
                                <w:p w:rsidR="00A56D70" w:rsidRPr="00E43E0F" w:rsidRDefault="00E539F6" w:rsidP="00CC555D">
                                  <w:pPr>
                                    <w:jc w:val="center"/>
                                    <w:rPr>
                                      <w:sz w:val="24"/>
                                      <w:szCs w:val="24"/>
                                    </w:rPr>
                                  </w:pPr>
                                  <w:r>
                                    <w:rPr>
                                      <w:sz w:val="24"/>
                                      <w:szCs w:val="24"/>
                                    </w:rPr>
                                    <w:t>10</w:t>
                                  </w:r>
                                  <w:r w:rsidR="00F638E7">
                                    <w:rPr>
                                      <w:sz w:val="24"/>
                                      <w:szCs w:val="24"/>
                                    </w:rPr>
                                    <w:t>5</w:t>
                                  </w:r>
                                  <w:r w:rsidR="00A56D70" w:rsidRPr="00E43E0F">
                                    <w:rPr>
                                      <w:sz w:val="24"/>
                                      <w:szCs w:val="24"/>
                                    </w:rPr>
                                    <w:t>% of initiative cumulative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A316" id="_x0000_s1027" type="#_x0000_t202" style="position:absolute;left:0;text-align:left;margin-left:312.05pt;margin-top:100.45pt;width:141pt;height:68.25pt;z-index:251738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" strokecolor="#92d050">
                      <v:stroke dashstyle="1 1"/>
                      <v:textbox>
                        <w:txbxContent>
                          <w:p w:rsidR="00A56D70" w:rsidRPr="00E43E0F" w:rsidRDefault="00F638E7" w:rsidP="00CC555D">
                            <w:pPr>
                              <w:jc w:val="center"/>
                              <w:rPr>
                                <w:sz w:val="24"/>
                                <w:szCs w:val="24"/>
                              </w:rPr>
                            </w:pPr>
                            <w:r>
                              <w:rPr>
                                <w:sz w:val="24"/>
                                <w:szCs w:val="24"/>
                              </w:rPr>
                              <w:t>817</w:t>
                            </w:r>
                            <w:r w:rsidR="00A56D70" w:rsidRPr="00E43E0F">
                              <w:rPr>
                                <w:sz w:val="24"/>
                                <w:szCs w:val="24"/>
                              </w:rPr>
                              <w:t xml:space="preserve"> Total to Date</w:t>
                            </w:r>
                          </w:p>
                          <w:p w:rsidR="00A56D70" w:rsidRPr="00E43E0F" w:rsidRDefault="00E539F6" w:rsidP="00CC555D">
                            <w:pPr>
                              <w:jc w:val="center"/>
                              <w:rPr>
                                <w:sz w:val="24"/>
                                <w:szCs w:val="24"/>
                              </w:rPr>
                            </w:pPr>
                            <w:r>
                              <w:rPr>
                                <w:sz w:val="24"/>
                                <w:szCs w:val="24"/>
                              </w:rPr>
                              <w:t>10</w:t>
                            </w:r>
                            <w:r w:rsidR="00F638E7">
                              <w:rPr>
                                <w:sz w:val="24"/>
                                <w:szCs w:val="24"/>
                              </w:rPr>
                              <w:t>5</w:t>
                            </w:r>
                            <w:r w:rsidR="00A56D70" w:rsidRPr="00E43E0F">
                              <w:rPr>
                                <w:sz w:val="24"/>
                                <w:szCs w:val="24"/>
                              </w:rPr>
                              <w:t>% of initiative cumulative goal</w:t>
                            </w:r>
                          </w:p>
                        </w:txbxContent>
                      </v:textbox>
                    </v:shape>
                  </w:pict>
                </mc:Fallback>
              </mc:AlternateContent>
            </w:r>
          </w:p>
        </w:tc>
      </w:tr>
      <w:tr w:rsidR="006864CA" w:rsidTr="006E4BE7">
        <w:trPr>
          <w:trHeight w:val="288"/>
        </w:trPr>
        <w:tc>
          <w:tcPr>
            <w:tcW w:w="18936" w:type="dxa"/>
            <w:gridSpan w:val="5"/>
            <w:shd w:val="clear" w:color="auto" w:fill="0079C1"/>
            <w:vAlign w:val="center"/>
          </w:tcPr>
          <w:p w:rsidR="006864CA" w:rsidRPr="00250B29" w:rsidRDefault="00250B29" w:rsidP="001F730D">
            <w:pPr>
              <w:jc w:val="center"/>
              <w:rPr>
                <w:b/>
                <w:noProof/>
                <w:color w:val="FFFFFF" w:themeColor="background1"/>
                <w:sz w:val="24"/>
                <w:szCs w:val="24"/>
              </w:rPr>
            </w:pPr>
            <w:r>
              <w:rPr>
                <w:b/>
                <w:noProof/>
                <w:color w:val="FFFFFF" w:themeColor="background1"/>
                <w:sz w:val="24"/>
                <w:szCs w:val="24"/>
              </w:rPr>
              <w:t>***</w:t>
            </w:r>
            <w:r w:rsidRPr="00250B29">
              <w:rPr>
                <w:b/>
                <w:noProof/>
                <w:color w:val="FFFFFF" w:themeColor="background1"/>
                <w:sz w:val="24"/>
                <w:szCs w:val="24"/>
              </w:rPr>
              <w:t>KEY</w:t>
            </w:r>
            <w:r>
              <w:rPr>
                <w:b/>
                <w:noProof/>
                <w:color w:val="FFFFFF" w:themeColor="background1"/>
                <w:sz w:val="24"/>
                <w:szCs w:val="24"/>
              </w:rPr>
              <w:t>***</w:t>
            </w:r>
          </w:p>
        </w:tc>
      </w:tr>
      <w:tr w:rsidR="006864CA" w:rsidTr="006E4BE7">
        <w:trPr>
          <w:trHeight w:val="324"/>
        </w:trPr>
        <w:tc>
          <w:tcPr>
            <w:tcW w:w="4734" w:type="dxa"/>
            <w:vAlign w:val="center"/>
          </w:tcPr>
          <w:p w:rsidR="006864CA" w:rsidRPr="00250B29" w:rsidRDefault="006864CA" w:rsidP="00250B29">
            <w:pPr>
              <w:jc w:val="center"/>
              <w:rPr>
                <w:noProof/>
                <w:sz w:val="20"/>
                <w:szCs w:val="20"/>
              </w:rPr>
            </w:pPr>
            <w:r w:rsidRPr="00250B29">
              <w:rPr>
                <w:noProof/>
                <w:sz w:val="20"/>
                <w:szCs w:val="20"/>
              </w:rPr>
              <w:t>ABCD = Action for Boston Community Development</w:t>
            </w:r>
          </w:p>
        </w:tc>
        <w:tc>
          <w:tcPr>
            <w:tcW w:w="4914" w:type="dxa"/>
            <w:gridSpan w:val="2"/>
            <w:vAlign w:val="center"/>
          </w:tcPr>
          <w:p w:rsidR="006864CA" w:rsidRPr="00250B29" w:rsidRDefault="006864CA" w:rsidP="00250B29">
            <w:pPr>
              <w:jc w:val="center"/>
              <w:rPr>
                <w:noProof/>
                <w:sz w:val="20"/>
                <w:szCs w:val="20"/>
              </w:rPr>
            </w:pPr>
            <w:r w:rsidRPr="00250B29">
              <w:rPr>
                <w:noProof/>
                <w:sz w:val="20"/>
                <w:szCs w:val="20"/>
              </w:rPr>
              <w:t>Cape = Cape &amp; Islands Workforce Investment Board</w:t>
            </w:r>
          </w:p>
        </w:tc>
        <w:tc>
          <w:tcPr>
            <w:tcW w:w="4950" w:type="dxa"/>
            <w:vAlign w:val="center"/>
          </w:tcPr>
          <w:p w:rsidR="006864CA" w:rsidRPr="00250B29" w:rsidRDefault="006864CA" w:rsidP="00250B29">
            <w:pPr>
              <w:jc w:val="center"/>
              <w:rPr>
                <w:noProof/>
                <w:sz w:val="20"/>
                <w:szCs w:val="20"/>
              </w:rPr>
            </w:pPr>
            <w:r w:rsidRPr="00250B29">
              <w:rPr>
                <w:noProof/>
                <w:sz w:val="20"/>
                <w:szCs w:val="20"/>
              </w:rPr>
              <w:t>NBEDC = New Bedford Economic Development Council</w:t>
            </w:r>
          </w:p>
          <w:p w:rsidR="006864CA" w:rsidRPr="00250B29" w:rsidRDefault="006864CA" w:rsidP="00250B29">
            <w:pPr>
              <w:jc w:val="center"/>
              <w:rPr>
                <w:noProof/>
                <w:sz w:val="20"/>
                <w:szCs w:val="20"/>
              </w:rPr>
            </w:pPr>
          </w:p>
        </w:tc>
        <w:tc>
          <w:tcPr>
            <w:tcW w:w="4338" w:type="dxa"/>
            <w:vAlign w:val="center"/>
          </w:tcPr>
          <w:p w:rsidR="006864CA" w:rsidRPr="00250B29" w:rsidRDefault="006864CA" w:rsidP="00250B29">
            <w:pPr>
              <w:jc w:val="center"/>
              <w:rPr>
                <w:noProof/>
                <w:sz w:val="20"/>
                <w:szCs w:val="20"/>
              </w:rPr>
            </w:pPr>
            <w:r w:rsidRPr="00250B29">
              <w:rPr>
                <w:noProof/>
                <w:sz w:val="20"/>
                <w:szCs w:val="20"/>
              </w:rPr>
              <w:t>SSCAC = South Shore Community Action Council</w:t>
            </w:r>
          </w:p>
          <w:p w:rsidR="006864CA" w:rsidRPr="00250B29" w:rsidRDefault="006864CA" w:rsidP="00250B29">
            <w:pPr>
              <w:jc w:val="center"/>
              <w:rPr>
                <w:noProof/>
                <w:sz w:val="20"/>
                <w:szCs w:val="20"/>
              </w:rPr>
            </w:pPr>
          </w:p>
        </w:tc>
      </w:tr>
      <w:tr w:rsidR="006864CA" w:rsidTr="006E4BE7">
        <w:trPr>
          <w:trHeight w:val="378"/>
        </w:trPr>
        <w:tc>
          <w:tcPr>
            <w:tcW w:w="4734" w:type="dxa"/>
            <w:vAlign w:val="center"/>
          </w:tcPr>
          <w:p w:rsidR="006864CA" w:rsidRPr="00250B29" w:rsidRDefault="00CC555D" w:rsidP="00250B29">
            <w:pPr>
              <w:jc w:val="center"/>
              <w:rPr>
                <w:noProof/>
                <w:sz w:val="20"/>
                <w:szCs w:val="20"/>
              </w:rPr>
            </w:pPr>
            <w:r w:rsidRPr="00250B29">
              <w:rPr>
                <w:noProof/>
                <w:sz w:val="20"/>
                <w:szCs w:val="20"/>
              </w:rPr>
              <w:t>BHA = Boston Housing Authority</w:t>
            </w:r>
          </w:p>
        </w:tc>
        <w:tc>
          <w:tcPr>
            <w:tcW w:w="4914" w:type="dxa"/>
            <w:gridSpan w:val="2"/>
            <w:vAlign w:val="center"/>
          </w:tcPr>
          <w:p w:rsidR="006864CA" w:rsidRPr="00250B29" w:rsidRDefault="006864CA" w:rsidP="003142EA">
            <w:pPr>
              <w:jc w:val="center"/>
              <w:rPr>
                <w:noProof/>
                <w:sz w:val="20"/>
                <w:szCs w:val="20"/>
              </w:rPr>
            </w:pPr>
            <w:r w:rsidRPr="00250B29">
              <w:rPr>
                <w:noProof/>
                <w:sz w:val="20"/>
                <w:szCs w:val="20"/>
              </w:rPr>
              <w:t>CWS = Community Work Services</w:t>
            </w:r>
          </w:p>
        </w:tc>
        <w:tc>
          <w:tcPr>
            <w:tcW w:w="4950" w:type="dxa"/>
            <w:vAlign w:val="center"/>
          </w:tcPr>
          <w:p w:rsidR="006864CA" w:rsidRPr="00250B29" w:rsidRDefault="006864CA" w:rsidP="00250B29">
            <w:pPr>
              <w:jc w:val="center"/>
              <w:rPr>
                <w:noProof/>
                <w:sz w:val="20"/>
                <w:szCs w:val="20"/>
              </w:rPr>
            </w:pPr>
            <w:r w:rsidRPr="00250B29">
              <w:rPr>
                <w:noProof/>
                <w:sz w:val="20"/>
                <w:szCs w:val="20"/>
              </w:rPr>
              <w:t>NCWIB = North Central Workforce Invesment Board</w:t>
            </w:r>
          </w:p>
          <w:p w:rsidR="006864CA" w:rsidRPr="00250B29" w:rsidRDefault="006864CA" w:rsidP="00250B29">
            <w:pPr>
              <w:jc w:val="center"/>
              <w:rPr>
                <w:noProof/>
                <w:sz w:val="20"/>
                <w:szCs w:val="20"/>
              </w:rPr>
            </w:pPr>
          </w:p>
        </w:tc>
        <w:tc>
          <w:tcPr>
            <w:tcW w:w="4338" w:type="dxa"/>
            <w:vAlign w:val="center"/>
          </w:tcPr>
          <w:p w:rsidR="006864CA" w:rsidRPr="00250B29" w:rsidRDefault="006864CA" w:rsidP="00250B29">
            <w:pPr>
              <w:jc w:val="center"/>
              <w:rPr>
                <w:noProof/>
                <w:sz w:val="20"/>
                <w:szCs w:val="20"/>
              </w:rPr>
            </w:pPr>
            <w:r w:rsidRPr="00250B29">
              <w:rPr>
                <w:noProof/>
                <w:sz w:val="20"/>
                <w:szCs w:val="20"/>
              </w:rPr>
              <w:t>UMA = University of Massachusetts, Amherst</w:t>
            </w:r>
          </w:p>
          <w:p w:rsidR="006864CA" w:rsidRPr="00250B29" w:rsidRDefault="006864CA" w:rsidP="00250B29">
            <w:pPr>
              <w:jc w:val="center"/>
              <w:rPr>
                <w:noProof/>
                <w:sz w:val="20"/>
                <w:szCs w:val="20"/>
              </w:rPr>
            </w:pPr>
          </w:p>
        </w:tc>
      </w:tr>
      <w:tr w:rsidR="006864CA" w:rsidTr="006E4BE7">
        <w:trPr>
          <w:trHeight w:val="522"/>
        </w:trPr>
        <w:tc>
          <w:tcPr>
            <w:tcW w:w="4734" w:type="dxa"/>
            <w:vAlign w:val="center"/>
          </w:tcPr>
          <w:p w:rsidR="006864CA" w:rsidRPr="00250B29" w:rsidRDefault="00CC555D" w:rsidP="00250B29">
            <w:pPr>
              <w:jc w:val="center"/>
              <w:rPr>
                <w:noProof/>
                <w:sz w:val="20"/>
                <w:szCs w:val="20"/>
              </w:rPr>
            </w:pPr>
            <w:r w:rsidRPr="00250B29">
              <w:rPr>
                <w:noProof/>
                <w:sz w:val="20"/>
                <w:szCs w:val="20"/>
              </w:rPr>
              <w:t>BREB = Berkshire Regional Employment Board</w:t>
            </w:r>
          </w:p>
        </w:tc>
        <w:tc>
          <w:tcPr>
            <w:tcW w:w="4914" w:type="dxa"/>
            <w:gridSpan w:val="2"/>
            <w:vAlign w:val="center"/>
          </w:tcPr>
          <w:p w:rsidR="006864CA" w:rsidRPr="00250B29" w:rsidRDefault="006864CA" w:rsidP="00250B29">
            <w:pPr>
              <w:jc w:val="center"/>
              <w:rPr>
                <w:noProof/>
                <w:sz w:val="20"/>
                <w:szCs w:val="20"/>
              </w:rPr>
            </w:pPr>
            <w:r w:rsidRPr="00250B29">
              <w:rPr>
                <w:noProof/>
                <w:sz w:val="20"/>
                <w:szCs w:val="20"/>
              </w:rPr>
              <w:t>FHREB = Franklin/Hampshire Regional Employment Board</w:t>
            </w:r>
          </w:p>
        </w:tc>
        <w:tc>
          <w:tcPr>
            <w:tcW w:w="4950" w:type="dxa"/>
            <w:vAlign w:val="center"/>
          </w:tcPr>
          <w:p w:rsidR="006864CA" w:rsidRPr="00250B29" w:rsidRDefault="006864CA" w:rsidP="00250B29">
            <w:pPr>
              <w:jc w:val="center"/>
              <w:rPr>
                <w:noProof/>
                <w:sz w:val="20"/>
                <w:szCs w:val="20"/>
              </w:rPr>
            </w:pPr>
            <w:r w:rsidRPr="00250B29">
              <w:rPr>
                <w:noProof/>
                <w:sz w:val="20"/>
                <w:szCs w:val="20"/>
              </w:rPr>
              <w:t>NSWIB = North Shore Workforce Investment Board</w:t>
            </w:r>
          </w:p>
        </w:tc>
        <w:tc>
          <w:tcPr>
            <w:tcW w:w="4338" w:type="dxa"/>
            <w:vAlign w:val="center"/>
          </w:tcPr>
          <w:p w:rsidR="006864CA" w:rsidRPr="00250B29" w:rsidRDefault="006864CA" w:rsidP="00250B29">
            <w:pPr>
              <w:jc w:val="center"/>
              <w:rPr>
                <w:noProof/>
                <w:sz w:val="20"/>
                <w:szCs w:val="20"/>
              </w:rPr>
            </w:pPr>
            <w:r w:rsidRPr="00250B29">
              <w:rPr>
                <w:noProof/>
                <w:sz w:val="20"/>
                <w:szCs w:val="20"/>
              </w:rPr>
              <w:t>YBB = YouthBuild Boston</w:t>
            </w:r>
          </w:p>
          <w:p w:rsidR="006864CA" w:rsidRPr="00250B29" w:rsidRDefault="006864CA" w:rsidP="00250B29">
            <w:pPr>
              <w:jc w:val="center"/>
              <w:rPr>
                <w:noProof/>
                <w:sz w:val="20"/>
                <w:szCs w:val="20"/>
              </w:rPr>
            </w:pPr>
          </w:p>
        </w:tc>
      </w:tr>
      <w:tr w:rsidR="006864CA" w:rsidTr="006E4BE7">
        <w:trPr>
          <w:trHeight w:val="144"/>
        </w:trPr>
        <w:tc>
          <w:tcPr>
            <w:tcW w:w="4734" w:type="dxa"/>
            <w:vAlign w:val="center"/>
          </w:tcPr>
          <w:p w:rsidR="006864CA" w:rsidRPr="00250B29" w:rsidRDefault="006864CA" w:rsidP="00F97C60">
            <w:pPr>
              <w:jc w:val="center"/>
              <w:rPr>
                <w:noProof/>
                <w:sz w:val="20"/>
                <w:szCs w:val="20"/>
              </w:rPr>
            </w:pPr>
            <w:r w:rsidRPr="00250B29">
              <w:rPr>
                <w:noProof/>
                <w:sz w:val="20"/>
                <w:szCs w:val="20"/>
              </w:rPr>
              <w:t>BWIB = Bristol Workforce Investment Board</w:t>
            </w:r>
          </w:p>
        </w:tc>
        <w:tc>
          <w:tcPr>
            <w:tcW w:w="4914" w:type="dxa"/>
            <w:gridSpan w:val="2"/>
            <w:vAlign w:val="center"/>
          </w:tcPr>
          <w:p w:rsidR="006864CA" w:rsidRPr="00250B29" w:rsidRDefault="006864CA" w:rsidP="00250B29">
            <w:pPr>
              <w:jc w:val="center"/>
              <w:rPr>
                <w:noProof/>
                <w:sz w:val="20"/>
                <w:szCs w:val="20"/>
              </w:rPr>
            </w:pPr>
            <w:r w:rsidRPr="00250B29">
              <w:rPr>
                <w:noProof/>
                <w:sz w:val="20"/>
                <w:szCs w:val="20"/>
              </w:rPr>
              <w:t>HREB = Regional Employment Board of Hampden County</w:t>
            </w:r>
          </w:p>
        </w:tc>
        <w:tc>
          <w:tcPr>
            <w:tcW w:w="4950" w:type="dxa"/>
            <w:vAlign w:val="center"/>
          </w:tcPr>
          <w:p w:rsidR="006864CA" w:rsidRPr="00250B29" w:rsidRDefault="006864CA" w:rsidP="00F97C60">
            <w:pPr>
              <w:jc w:val="center"/>
              <w:rPr>
                <w:noProof/>
                <w:sz w:val="20"/>
                <w:szCs w:val="20"/>
              </w:rPr>
            </w:pPr>
            <w:r w:rsidRPr="00250B29">
              <w:rPr>
                <w:noProof/>
                <w:sz w:val="20"/>
                <w:szCs w:val="20"/>
              </w:rPr>
              <w:t>SMOC = South Middlesex Opportunity Council</w:t>
            </w:r>
          </w:p>
        </w:tc>
        <w:tc>
          <w:tcPr>
            <w:tcW w:w="4338" w:type="dxa"/>
            <w:vAlign w:val="center"/>
          </w:tcPr>
          <w:p w:rsidR="006864CA" w:rsidRPr="00250B29" w:rsidRDefault="006864CA" w:rsidP="00250B29">
            <w:pPr>
              <w:jc w:val="center"/>
              <w:rPr>
                <w:noProof/>
                <w:sz w:val="20"/>
                <w:szCs w:val="20"/>
              </w:rPr>
            </w:pPr>
          </w:p>
        </w:tc>
      </w:tr>
      <w:tr w:rsidR="00250B29" w:rsidTr="008106ED">
        <w:trPr>
          <w:trHeight w:val="7344"/>
        </w:trPr>
        <w:tc>
          <w:tcPr>
            <w:tcW w:w="9648" w:type="dxa"/>
            <w:gridSpan w:val="3"/>
            <w:vAlign w:val="center"/>
          </w:tcPr>
          <w:p w:rsidR="008E326F" w:rsidRDefault="008106ED" w:rsidP="001F730D">
            <w:pPr>
              <w:jc w:val="center"/>
            </w:pPr>
            <w:r>
              <w:rPr>
                <w:noProof/>
              </w:rPr>
              <w:lastRenderedPageBreak/>
              <w:drawing>
                <wp:anchor distT="0" distB="0" distL="114300" distR="114300" simplePos="0" relativeHeight="251741695" behindDoc="0" locked="0" layoutInCell="1" allowOverlap="1" wp14:anchorId="30CBE7B8" wp14:editId="19853F8F">
                  <wp:simplePos x="0" y="0"/>
                  <wp:positionH relativeFrom="column">
                    <wp:posOffset>5995035</wp:posOffset>
                  </wp:positionH>
                  <wp:positionV relativeFrom="paragraph">
                    <wp:posOffset>-135255</wp:posOffset>
                  </wp:positionV>
                  <wp:extent cx="5760720" cy="4480560"/>
                  <wp:effectExtent l="0" t="0" r="11430" b="1524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719" behindDoc="0" locked="0" layoutInCell="1" allowOverlap="1" wp14:anchorId="6068B824" wp14:editId="2C6D1E30">
                  <wp:simplePos x="0" y="0"/>
                  <wp:positionH relativeFrom="column">
                    <wp:posOffset>-68580</wp:posOffset>
                  </wp:positionH>
                  <wp:positionV relativeFrom="paragraph">
                    <wp:posOffset>-153035</wp:posOffset>
                  </wp:positionV>
                  <wp:extent cx="5989320" cy="4467225"/>
                  <wp:effectExtent l="0" t="0" r="11430" b="952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50B29" w:rsidRDefault="008106ED" w:rsidP="001F730D">
            <w:pPr>
              <w:jc w:val="center"/>
            </w:pPr>
            <w:r>
              <w:rPr>
                <w:noProof/>
              </w:rPr>
              <mc:AlternateContent>
                <mc:Choice Requires="wps">
                  <w:drawing>
                    <wp:anchor distT="0" distB="0" distL="114300" distR="114300" simplePos="0" relativeHeight="251734527" behindDoc="0" locked="0" layoutInCell="1" allowOverlap="1" wp14:anchorId="712BDA7F" wp14:editId="3A6A29C8">
                      <wp:simplePos x="0" y="0"/>
                      <wp:positionH relativeFrom="column">
                        <wp:posOffset>0</wp:posOffset>
                      </wp:positionH>
                      <wp:positionV relativeFrom="paragraph">
                        <wp:posOffset>4401820</wp:posOffset>
                      </wp:positionV>
                      <wp:extent cx="580072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FFFFFF"/>
                              </a:solidFill>
                              <a:ln w="9525">
                                <a:solidFill>
                                  <a:srgbClr val="000000"/>
                                </a:solidFill>
                                <a:miter lim="800000"/>
                                <a:headEnd/>
                                <a:tailEnd/>
                              </a:ln>
                            </wps:spPr>
                            <wps:txbx>
                              <w:txbxContent>
                                <w:p w:rsidR="003E79DC" w:rsidRDefault="003E79DC" w:rsidP="003E79DC">
                                  <w:r>
                                    <w:t xml:space="preserve">*In January 2015 the Boston Housing Authority and University of Massachusetts Amherst were awarded additional resources, funded through Massachusetts Department of Transportation to serve more individuals. These increases are reflected in the dashboard. This also extended the training period for these two grants to </w:t>
                                  </w:r>
                                  <w:proofErr w:type="gramStart"/>
                                  <w:r>
                                    <w:t>Spring</w:t>
                                  </w:r>
                                  <w:proofErr w:type="gramEnd"/>
                                  <w:r>
                                    <w:t xml:space="preserve"> 2016.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2BDA7F" id="_x0000_s1028" type="#_x0000_t202" style="position:absolute;left:0;text-align:left;margin-left:0;margin-top:346.6pt;width:456.75pt;height:110.55pt;z-index:251734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">
                      <v:textbox style="mso-fit-shape-to-text:t">
                        <w:txbxContent>
                          <w:p w:rsidR="003E79DC" w:rsidRDefault="003E79DC" w:rsidP="003E79DC">
                            <w:r>
                              <w:t xml:space="preserve">*In January 2015 the Boston Housing Authority and University of Massachusetts Amherst were awarded additional resources, funded through Massachusetts Department of Transportation to serve more individuals. These increases are reflected in the dashboard. This also extended the training period for these two grants to </w:t>
                            </w:r>
                            <w:proofErr w:type="gramStart"/>
                            <w:r>
                              <w:t>Spring</w:t>
                            </w:r>
                            <w:proofErr w:type="gramEnd"/>
                            <w:r>
                              <w:t xml:space="preserve"> 2016. </w:t>
                            </w:r>
                          </w:p>
                        </w:txbxContent>
                      </v:textbox>
                    </v:shape>
                  </w:pict>
                </mc:Fallback>
              </mc:AlternateContent>
            </w:r>
            <w:r w:rsidRPr="00A43859">
              <w:rPr>
                <w:noProof/>
              </w:rPr>
              <mc:AlternateContent>
                <mc:Choice Requires="wps">
                  <w:drawing>
                    <wp:anchor distT="0" distB="0" distL="114300" distR="114300" simplePos="0" relativeHeight="251743743" behindDoc="0" locked="0" layoutInCell="1" allowOverlap="1" wp14:anchorId="15D1AA03" wp14:editId="2773EC17">
                      <wp:simplePos x="0" y="0"/>
                      <wp:positionH relativeFrom="column">
                        <wp:posOffset>4309110</wp:posOffset>
                      </wp:positionH>
                      <wp:positionV relativeFrom="paragraph">
                        <wp:posOffset>1703070</wp:posOffset>
                      </wp:positionV>
                      <wp:extent cx="1552575" cy="866775"/>
                      <wp:effectExtent l="57150" t="57150" r="47625" b="476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66775"/>
                              </a:xfrm>
                              <a:prstGeom prst="rect">
                                <a:avLst/>
                              </a:prstGeom>
                              <a:solidFill>
                                <a:srgbClr val="FFFFFF"/>
                              </a:solidFill>
                              <a:ln w="9525">
                                <a:solidFill>
                                  <a:srgbClr val="92D050"/>
                                </a:solidFill>
                                <a:prstDash val="sysDot"/>
                                <a:miter lim="800000"/>
                                <a:headEnd/>
                                <a:tailEnd/>
                              </a:ln>
                              <a:scene3d>
                                <a:camera prst="orthographicFront"/>
                                <a:lightRig rig="threePt" dir="t"/>
                              </a:scene3d>
                              <a:sp3d>
                                <a:bevelT w="152400" h="50800" prst="softRound"/>
                              </a:sp3d>
                            </wps:spPr>
                            <wps:txbx>
                              <w:txbxContent>
                                <w:p w:rsidR="00A56D70" w:rsidRPr="00E43E0F" w:rsidRDefault="00E539F6" w:rsidP="002B1966">
                                  <w:pPr>
                                    <w:jc w:val="center"/>
                                    <w:rPr>
                                      <w:sz w:val="24"/>
                                      <w:szCs w:val="24"/>
                                    </w:rPr>
                                  </w:pPr>
                                  <w:r>
                                    <w:rPr>
                                      <w:sz w:val="24"/>
                                      <w:szCs w:val="24"/>
                                    </w:rPr>
                                    <w:t>6</w:t>
                                  </w:r>
                                  <w:r w:rsidR="00F638E7">
                                    <w:rPr>
                                      <w:sz w:val="24"/>
                                      <w:szCs w:val="24"/>
                                    </w:rPr>
                                    <w:t xml:space="preserve">70 </w:t>
                                  </w:r>
                                  <w:r w:rsidR="00A56D70" w:rsidRPr="00E43E0F">
                                    <w:rPr>
                                      <w:sz w:val="24"/>
                                      <w:szCs w:val="24"/>
                                    </w:rPr>
                                    <w:t>Total to Date</w:t>
                                  </w:r>
                                </w:p>
                                <w:p w:rsidR="00A56D70" w:rsidRPr="00E43E0F" w:rsidRDefault="00F638E7" w:rsidP="002B1966">
                                  <w:pPr>
                                    <w:jc w:val="center"/>
                                    <w:rPr>
                                      <w:sz w:val="24"/>
                                      <w:szCs w:val="24"/>
                                    </w:rPr>
                                  </w:pPr>
                                  <w:r>
                                    <w:rPr>
                                      <w:sz w:val="24"/>
                                      <w:szCs w:val="24"/>
                                    </w:rPr>
                                    <w:t>98</w:t>
                                  </w:r>
                                  <w:r w:rsidR="00A56D70" w:rsidRPr="00E43E0F">
                                    <w:rPr>
                                      <w:sz w:val="24"/>
                                      <w:szCs w:val="24"/>
                                    </w:rPr>
                                    <w:t>% of initiative cumulative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AA03" id="Text Box 1" o:spid="_x0000_s1029" type="#_x0000_t202" style="position:absolute;left:0;text-align:left;margin-left:339.3pt;margin-top:134.1pt;width:122.25pt;height:68.25pt;z-index:251743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" strokecolor="#92d050">
                      <v:stroke dashstyle="1 1"/>
                      <v:textbox>
                        <w:txbxContent>
                          <w:p w:rsidR="00A56D70" w:rsidRPr="00E43E0F" w:rsidRDefault="00E539F6" w:rsidP="002B1966">
                            <w:pPr>
                              <w:jc w:val="center"/>
                              <w:rPr>
                                <w:sz w:val="24"/>
                                <w:szCs w:val="24"/>
                              </w:rPr>
                            </w:pPr>
                            <w:r>
                              <w:rPr>
                                <w:sz w:val="24"/>
                                <w:szCs w:val="24"/>
                              </w:rPr>
                              <w:t>6</w:t>
                            </w:r>
                            <w:r w:rsidR="00F638E7">
                              <w:rPr>
                                <w:sz w:val="24"/>
                                <w:szCs w:val="24"/>
                              </w:rPr>
                              <w:t xml:space="preserve">70 </w:t>
                            </w:r>
                            <w:r w:rsidR="00A56D70" w:rsidRPr="00E43E0F">
                              <w:rPr>
                                <w:sz w:val="24"/>
                                <w:szCs w:val="24"/>
                              </w:rPr>
                              <w:t>Total to Date</w:t>
                            </w:r>
                          </w:p>
                          <w:p w:rsidR="00A56D70" w:rsidRPr="00E43E0F" w:rsidRDefault="00F638E7" w:rsidP="002B1966">
                            <w:pPr>
                              <w:jc w:val="center"/>
                              <w:rPr>
                                <w:sz w:val="24"/>
                                <w:szCs w:val="24"/>
                              </w:rPr>
                            </w:pPr>
                            <w:r>
                              <w:rPr>
                                <w:sz w:val="24"/>
                                <w:szCs w:val="24"/>
                              </w:rPr>
                              <w:t>98</w:t>
                            </w:r>
                            <w:r w:rsidR="00A56D70" w:rsidRPr="00E43E0F">
                              <w:rPr>
                                <w:sz w:val="24"/>
                                <w:szCs w:val="24"/>
                              </w:rPr>
                              <w:t>% of initiative cumulative goal</w:t>
                            </w:r>
                          </w:p>
                        </w:txbxContent>
                      </v:textbox>
                    </v:shape>
                  </w:pict>
                </mc:Fallback>
              </mc:AlternateContent>
            </w:r>
          </w:p>
        </w:tc>
        <w:tc>
          <w:tcPr>
            <w:tcW w:w="9288" w:type="dxa"/>
            <w:gridSpan w:val="2"/>
            <w:vAlign w:val="center"/>
          </w:tcPr>
          <w:p w:rsidR="00250B29" w:rsidRDefault="00250B29" w:rsidP="001F730D">
            <w:pPr>
              <w:jc w:val="center"/>
            </w:pPr>
          </w:p>
          <w:p w:rsidR="00250B29" w:rsidRDefault="00250B29" w:rsidP="001F730D">
            <w:pPr>
              <w:pStyle w:val="Caption"/>
              <w:jc w:val="center"/>
            </w:pPr>
          </w:p>
          <w:p w:rsidR="00250B29" w:rsidRDefault="008106ED" w:rsidP="001F730D">
            <w:pPr>
              <w:jc w:val="center"/>
              <w:rPr>
                <w:noProof/>
              </w:rPr>
            </w:pPr>
            <w:r>
              <w:rPr>
                <w:noProof/>
              </w:rPr>
              <mc:AlternateContent>
                <mc:Choice Requires="wps">
                  <w:drawing>
                    <wp:anchor distT="45720" distB="45720" distL="114300" distR="114300" simplePos="0" relativeHeight="251745791" behindDoc="0" locked="0" layoutInCell="1" allowOverlap="1">
                      <wp:simplePos x="0" y="0"/>
                      <wp:positionH relativeFrom="column">
                        <wp:posOffset>1943100</wp:posOffset>
                      </wp:positionH>
                      <wp:positionV relativeFrom="paragraph">
                        <wp:posOffset>4618355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106ED" w:rsidRDefault="008106ED">
                                  <w:r>
                                    <w:t>Cost Per Placement Goal: $7,500</w:t>
                                  </w:r>
                                </w:p>
                                <w:p w:rsidR="008106ED" w:rsidRDefault="008106ED">
                                  <w:r>
                                    <w:t xml:space="preserve">Actual Cost </w:t>
                                  </w:r>
                                  <w:proofErr w:type="gramStart"/>
                                  <w:r>
                                    <w:t>Per</w:t>
                                  </w:r>
                                  <w:proofErr w:type="gramEnd"/>
                                  <w:r>
                                    <w:t xml:space="preserve"> Placement: $6,846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3pt;margin-top:363.65pt;width:185.9pt;height:110.6pt;z-index:2517457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">
                      <v:textbox style="mso-fit-shape-to-text:t">
                        <w:txbxContent>
                          <w:p w:rsidR="008106ED" w:rsidRDefault="008106ED">
                            <w:r>
                              <w:t>Cost Per Placement Goal: $7,500</w:t>
                            </w:r>
                          </w:p>
                          <w:p w:rsidR="008106ED" w:rsidRDefault="008106ED">
                            <w:r>
                              <w:t xml:space="preserve">Actual Cost </w:t>
                            </w:r>
                            <w:proofErr w:type="gramStart"/>
                            <w:r>
                              <w:t>Per</w:t>
                            </w:r>
                            <w:proofErr w:type="gramEnd"/>
                            <w:r>
                              <w:t xml:space="preserve"> Placement: $6,846</w:t>
                            </w:r>
                          </w:p>
                        </w:txbxContent>
                      </v:textbox>
                      <w10:wrap type="square"/>
                    </v:shape>
                  </w:pict>
                </mc:Fallback>
              </mc:AlternateContent>
            </w:r>
          </w:p>
        </w:tc>
        <w:bookmarkStart w:id="0" w:name="_GoBack"/>
        <w:bookmarkEnd w:id="0"/>
      </w:tr>
      <w:tr w:rsidR="00250B29" w:rsidTr="006E4BE7">
        <w:trPr>
          <w:trHeight w:val="2412"/>
        </w:trPr>
        <w:tc>
          <w:tcPr>
            <w:tcW w:w="18936" w:type="dxa"/>
            <w:gridSpan w:val="5"/>
            <w:vAlign w:val="center"/>
          </w:tcPr>
          <w:tbl>
            <w:tblPr>
              <w:tblW w:w="8827" w:type="dxa"/>
              <w:tblInd w:w="5647" w:type="dxa"/>
              <w:tblLayout w:type="fixed"/>
              <w:tblLook w:val="04A0" w:firstRow="1" w:lastRow="0" w:firstColumn="1" w:lastColumn="0" w:noHBand="0" w:noVBand="1"/>
            </w:tblPr>
            <w:tblGrid>
              <w:gridCol w:w="1272"/>
              <w:gridCol w:w="712"/>
              <w:gridCol w:w="1083"/>
              <w:gridCol w:w="837"/>
              <w:gridCol w:w="1083"/>
              <w:gridCol w:w="837"/>
              <w:gridCol w:w="1083"/>
              <w:gridCol w:w="837"/>
              <w:gridCol w:w="1083"/>
            </w:tblGrid>
            <w:tr w:rsidR="00D664F5" w:rsidRPr="004F6721" w:rsidTr="00431C31">
              <w:trPr>
                <w:trHeight w:val="255"/>
              </w:trPr>
              <w:tc>
                <w:tcPr>
                  <w:tcW w:w="8827" w:type="dxa"/>
                  <w:gridSpan w:val="9"/>
                  <w:tcBorders>
                    <w:top w:val="single" w:sz="4" w:space="0" w:color="auto"/>
                    <w:left w:val="single" w:sz="4" w:space="0" w:color="auto"/>
                    <w:bottom w:val="single" w:sz="4" w:space="0" w:color="auto"/>
                    <w:right w:val="single" w:sz="4" w:space="0" w:color="auto"/>
                  </w:tcBorders>
                  <w:shd w:val="clear" w:color="auto" w:fill="0079C1"/>
                  <w:noWrap/>
                </w:tcPr>
                <w:p w:rsidR="00D664F5" w:rsidRPr="00431C31" w:rsidRDefault="00431C31" w:rsidP="00431C31">
                  <w:pPr>
                    <w:jc w:val="center"/>
                    <w:rPr>
                      <w:sz w:val="32"/>
                      <w:szCs w:val="32"/>
                    </w:rPr>
                  </w:pPr>
                  <w:r w:rsidRPr="00431C31">
                    <w:rPr>
                      <w:color w:val="FFFFFF" w:themeColor="background1"/>
                      <w:sz w:val="32"/>
                      <w:szCs w:val="32"/>
                    </w:rPr>
                    <w:lastRenderedPageBreak/>
                    <w:t>Incumbent Worker Indicators</w:t>
                  </w:r>
                  <w:r w:rsidR="00E676A4">
                    <w:rPr>
                      <w:color w:val="FFFFFF" w:themeColor="background1"/>
                      <w:sz w:val="32"/>
                      <w:szCs w:val="32"/>
                    </w:rPr>
                    <w:t>-Cumulative</w:t>
                  </w:r>
                </w:p>
              </w:tc>
            </w:tr>
            <w:tr w:rsidR="008352A2" w:rsidRPr="004F6721" w:rsidTr="00431C31">
              <w:trPr>
                <w:trHeight w:val="255"/>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2A2" w:rsidRPr="004F6721" w:rsidRDefault="008352A2" w:rsidP="008352A2">
                  <w:pPr>
                    <w:spacing w:after="0" w:line="240" w:lineRule="auto"/>
                    <w:rPr>
                      <w:rFonts w:ascii="Arial" w:eastAsia="Times New Roman" w:hAnsi="Arial" w:cs="Arial"/>
                      <w:sz w:val="20"/>
                      <w:szCs w:val="20"/>
                    </w:rPr>
                  </w:pPr>
                </w:p>
              </w:tc>
              <w:tc>
                <w:tcPr>
                  <w:tcW w:w="1795"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Enrollments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Completions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Wage Gains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52A2" w:rsidRPr="004F6721" w:rsidRDefault="008E326F" w:rsidP="002966F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9 Month </w:t>
                  </w:r>
                  <w:r w:rsidR="008352A2" w:rsidRPr="004F6721">
                    <w:rPr>
                      <w:rFonts w:ascii="Arial" w:eastAsia="Times New Roman" w:hAnsi="Arial" w:cs="Arial"/>
                      <w:sz w:val="20"/>
                      <w:szCs w:val="20"/>
                    </w:rPr>
                    <w:t>Retention</w:t>
                  </w:r>
                </w:p>
              </w:tc>
            </w:tr>
            <w:tr w:rsidR="008352A2" w:rsidRPr="004F6721" w:rsidTr="00431C31">
              <w:trPr>
                <w:trHeight w:val="255"/>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p>
              </w:tc>
              <w:tc>
                <w:tcPr>
                  <w:tcW w:w="712"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Goal</w:t>
                  </w:r>
                </w:p>
              </w:tc>
              <w:tc>
                <w:tcPr>
                  <w:tcW w:w="1083"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Actual</w:t>
                  </w:r>
                </w:p>
              </w:tc>
              <w:tc>
                <w:tcPr>
                  <w:tcW w:w="837"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Goal</w:t>
                  </w:r>
                </w:p>
              </w:tc>
              <w:tc>
                <w:tcPr>
                  <w:tcW w:w="1083"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Actual</w:t>
                  </w:r>
                </w:p>
              </w:tc>
              <w:tc>
                <w:tcPr>
                  <w:tcW w:w="837"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Goal</w:t>
                  </w:r>
                </w:p>
              </w:tc>
              <w:tc>
                <w:tcPr>
                  <w:tcW w:w="1083"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Actual</w:t>
                  </w:r>
                </w:p>
              </w:tc>
              <w:tc>
                <w:tcPr>
                  <w:tcW w:w="837"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Goal</w:t>
                  </w:r>
                </w:p>
              </w:tc>
              <w:tc>
                <w:tcPr>
                  <w:tcW w:w="1083" w:type="dxa"/>
                  <w:tcBorders>
                    <w:top w:val="nil"/>
                    <w:left w:val="nil"/>
                    <w:bottom w:val="single" w:sz="4" w:space="0" w:color="auto"/>
                    <w:right w:val="single" w:sz="4" w:space="0" w:color="auto"/>
                  </w:tcBorders>
                  <w:shd w:val="clear" w:color="auto" w:fill="auto"/>
                  <w:noWrap/>
                  <w:vAlign w:val="bottom"/>
                  <w:hideMark/>
                </w:tcPr>
                <w:p w:rsidR="008352A2" w:rsidRPr="004F6721" w:rsidRDefault="008352A2" w:rsidP="002966F7">
                  <w:pPr>
                    <w:spacing w:after="0" w:line="240" w:lineRule="auto"/>
                    <w:jc w:val="center"/>
                    <w:rPr>
                      <w:rFonts w:ascii="Arial" w:eastAsia="Times New Roman" w:hAnsi="Arial" w:cs="Arial"/>
                      <w:sz w:val="20"/>
                      <w:szCs w:val="20"/>
                    </w:rPr>
                  </w:pPr>
                  <w:r w:rsidRPr="004F6721">
                    <w:rPr>
                      <w:rFonts w:ascii="Arial" w:eastAsia="Times New Roman" w:hAnsi="Arial" w:cs="Arial"/>
                      <w:sz w:val="20"/>
                      <w:szCs w:val="20"/>
                    </w:rPr>
                    <w:t>Actual</w:t>
                  </w:r>
                </w:p>
              </w:tc>
            </w:tr>
            <w:tr w:rsidR="00265292" w:rsidRPr="004F6721" w:rsidTr="00431C31">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265292" w:rsidRPr="004F6721" w:rsidRDefault="006804B9" w:rsidP="002966F7">
                  <w:pPr>
                    <w:spacing w:after="0" w:line="240" w:lineRule="auto"/>
                    <w:jc w:val="center"/>
                    <w:rPr>
                      <w:rFonts w:ascii="Calibri" w:eastAsia="Times New Roman" w:hAnsi="Calibri" w:cs="Arial"/>
                    </w:rPr>
                  </w:pPr>
                  <w:r>
                    <w:rPr>
                      <w:rFonts w:ascii="Calibri" w:eastAsia="Times New Roman" w:hAnsi="Calibri" w:cs="Arial"/>
                    </w:rPr>
                    <w:t xml:space="preserve"> </w:t>
                  </w:r>
                  <w:r w:rsidR="00265292" w:rsidRPr="004F6721">
                    <w:rPr>
                      <w:rFonts w:ascii="Calibri" w:eastAsia="Times New Roman" w:hAnsi="Calibri" w:cs="Arial"/>
                    </w:rPr>
                    <w:t>B</w:t>
                  </w:r>
                  <w:r w:rsidR="00265292">
                    <w:rPr>
                      <w:rFonts w:ascii="Calibri" w:eastAsia="Times New Roman" w:hAnsi="Calibri" w:cs="Arial"/>
                    </w:rPr>
                    <w:t>REB</w:t>
                  </w:r>
                </w:p>
              </w:tc>
              <w:tc>
                <w:tcPr>
                  <w:tcW w:w="712"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center"/>
                    <w:rPr>
                      <w:rFonts w:ascii="Arial" w:hAnsi="Arial" w:cs="Arial"/>
                      <w:sz w:val="20"/>
                      <w:szCs w:val="20"/>
                    </w:rPr>
                  </w:pPr>
                  <w:r>
                    <w:rPr>
                      <w:rFonts w:ascii="Arial" w:hAnsi="Arial" w:cs="Arial"/>
                      <w:sz w:val="20"/>
                      <w:szCs w:val="20"/>
                    </w:rPr>
                    <w:t>53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B82949" w:rsidP="006804B9">
                  <w:pPr>
                    <w:spacing w:after="0" w:line="240" w:lineRule="auto"/>
                    <w:jc w:val="center"/>
                    <w:rPr>
                      <w:rFonts w:ascii="Arial" w:hAnsi="Arial" w:cs="Arial"/>
                      <w:sz w:val="20"/>
                      <w:szCs w:val="20"/>
                    </w:rPr>
                  </w:pPr>
                  <w:r>
                    <w:rPr>
                      <w:rFonts w:ascii="Arial" w:hAnsi="Arial" w:cs="Arial"/>
                      <w:sz w:val="20"/>
                      <w:szCs w:val="20"/>
                    </w:rPr>
                    <w:t>94</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47</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5E1F11" w:rsidP="00E43E0F">
                  <w:pPr>
                    <w:spacing w:after="0" w:line="240" w:lineRule="auto"/>
                    <w:jc w:val="center"/>
                    <w:rPr>
                      <w:rFonts w:ascii="Arial" w:hAnsi="Arial" w:cs="Arial"/>
                      <w:sz w:val="20"/>
                      <w:szCs w:val="20"/>
                    </w:rPr>
                  </w:pPr>
                  <w:r>
                    <w:rPr>
                      <w:rFonts w:ascii="Arial" w:hAnsi="Arial" w:cs="Arial"/>
                      <w:sz w:val="20"/>
                      <w:szCs w:val="20"/>
                    </w:rPr>
                    <w:t>94</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39</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273AEE" w:rsidP="00273AEE">
                  <w:pPr>
                    <w:spacing w:after="0" w:line="240" w:lineRule="auto"/>
                    <w:jc w:val="center"/>
                    <w:rPr>
                      <w:rFonts w:ascii="Arial" w:hAnsi="Arial" w:cs="Arial"/>
                      <w:sz w:val="20"/>
                      <w:szCs w:val="20"/>
                    </w:rPr>
                  </w:pPr>
                  <w:r>
                    <w:rPr>
                      <w:rFonts w:ascii="Arial" w:hAnsi="Arial" w:cs="Arial"/>
                      <w:sz w:val="20"/>
                      <w:szCs w:val="20"/>
                    </w:rPr>
                    <w:t>54</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44</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273AEE" w:rsidP="00265292">
                  <w:pPr>
                    <w:spacing w:after="0" w:line="240" w:lineRule="auto"/>
                    <w:jc w:val="center"/>
                    <w:rPr>
                      <w:rFonts w:ascii="Arial" w:hAnsi="Arial" w:cs="Arial"/>
                      <w:sz w:val="20"/>
                      <w:szCs w:val="20"/>
                    </w:rPr>
                  </w:pPr>
                  <w:r>
                    <w:rPr>
                      <w:rFonts w:ascii="Arial" w:hAnsi="Arial" w:cs="Arial"/>
                      <w:sz w:val="20"/>
                      <w:szCs w:val="20"/>
                    </w:rPr>
                    <w:t>89</w:t>
                  </w:r>
                </w:p>
              </w:tc>
            </w:tr>
            <w:tr w:rsidR="00265292" w:rsidRPr="004F6721" w:rsidTr="00431C31">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265292" w:rsidRPr="004F6721" w:rsidRDefault="00265292" w:rsidP="002966F7">
                  <w:pPr>
                    <w:spacing w:after="0" w:line="240" w:lineRule="auto"/>
                    <w:jc w:val="center"/>
                    <w:rPr>
                      <w:rFonts w:ascii="Calibri" w:eastAsia="Times New Roman" w:hAnsi="Calibri" w:cs="Arial"/>
                    </w:rPr>
                  </w:pPr>
                  <w:r w:rsidRPr="004F6721">
                    <w:rPr>
                      <w:rFonts w:ascii="Calibri" w:eastAsia="Times New Roman" w:hAnsi="Calibri" w:cs="Arial"/>
                    </w:rPr>
                    <w:t xml:space="preserve">Cape </w:t>
                  </w:r>
                </w:p>
              </w:tc>
              <w:tc>
                <w:tcPr>
                  <w:tcW w:w="712"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center"/>
                    <w:rPr>
                      <w:rFonts w:ascii="Arial" w:hAnsi="Arial" w:cs="Arial"/>
                      <w:sz w:val="20"/>
                      <w:szCs w:val="20"/>
                    </w:rPr>
                  </w:pPr>
                  <w:r>
                    <w:rPr>
                      <w:rFonts w:ascii="Arial" w:hAnsi="Arial" w:cs="Arial"/>
                      <w:sz w:val="20"/>
                      <w:szCs w:val="20"/>
                    </w:rPr>
                    <w:t>13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5E1F11" w:rsidP="00265292">
                  <w:pPr>
                    <w:spacing w:after="0" w:line="240" w:lineRule="auto"/>
                    <w:jc w:val="center"/>
                    <w:rPr>
                      <w:rFonts w:ascii="Arial" w:hAnsi="Arial" w:cs="Arial"/>
                      <w:sz w:val="20"/>
                      <w:szCs w:val="20"/>
                    </w:rPr>
                  </w:pPr>
                  <w:r>
                    <w:rPr>
                      <w:rFonts w:ascii="Arial" w:hAnsi="Arial" w:cs="Arial"/>
                      <w:sz w:val="20"/>
                      <w:szCs w:val="20"/>
                    </w:rPr>
                    <w:t>6</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13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5E1F11" w:rsidP="00265292">
                  <w:pPr>
                    <w:spacing w:after="0" w:line="240" w:lineRule="auto"/>
                    <w:jc w:val="center"/>
                    <w:rPr>
                      <w:rFonts w:ascii="Arial" w:hAnsi="Arial" w:cs="Arial"/>
                      <w:sz w:val="20"/>
                      <w:szCs w:val="20"/>
                    </w:rPr>
                  </w:pPr>
                  <w:r>
                    <w:rPr>
                      <w:rFonts w:ascii="Arial" w:hAnsi="Arial" w:cs="Arial"/>
                      <w:sz w:val="20"/>
                      <w:szCs w:val="20"/>
                    </w:rPr>
                    <w:t>5</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13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5E1F11" w:rsidP="00265292">
                  <w:pPr>
                    <w:spacing w:after="0" w:line="240" w:lineRule="auto"/>
                    <w:jc w:val="center"/>
                    <w:rPr>
                      <w:rFonts w:ascii="Arial" w:hAnsi="Arial" w:cs="Arial"/>
                      <w:sz w:val="20"/>
                      <w:szCs w:val="20"/>
                    </w:rPr>
                  </w:pPr>
                  <w:r>
                    <w:rPr>
                      <w:rFonts w:ascii="Arial" w:hAnsi="Arial" w:cs="Arial"/>
                      <w:sz w:val="20"/>
                      <w:szCs w:val="20"/>
                    </w:rPr>
                    <w:t>1</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13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B82949" w:rsidP="00265292">
                  <w:pPr>
                    <w:spacing w:after="0" w:line="240" w:lineRule="auto"/>
                    <w:jc w:val="center"/>
                    <w:rPr>
                      <w:rFonts w:ascii="Arial" w:hAnsi="Arial" w:cs="Arial"/>
                      <w:sz w:val="20"/>
                      <w:szCs w:val="20"/>
                    </w:rPr>
                  </w:pPr>
                  <w:r>
                    <w:rPr>
                      <w:rFonts w:ascii="Arial" w:hAnsi="Arial" w:cs="Arial"/>
                      <w:sz w:val="20"/>
                      <w:szCs w:val="20"/>
                    </w:rPr>
                    <w:t>4</w:t>
                  </w:r>
                </w:p>
              </w:tc>
            </w:tr>
            <w:tr w:rsidR="00265292" w:rsidRPr="004F6721" w:rsidTr="00431C31">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265292" w:rsidRPr="004F6721" w:rsidRDefault="00265292" w:rsidP="002966F7">
                  <w:pPr>
                    <w:spacing w:after="0" w:line="240" w:lineRule="auto"/>
                    <w:jc w:val="center"/>
                    <w:rPr>
                      <w:rFonts w:ascii="Calibri" w:eastAsia="Times New Roman" w:hAnsi="Calibri" w:cs="Arial"/>
                    </w:rPr>
                  </w:pPr>
                  <w:r w:rsidRPr="004F6721">
                    <w:rPr>
                      <w:rFonts w:ascii="Calibri" w:eastAsia="Times New Roman" w:hAnsi="Calibri" w:cs="Arial"/>
                    </w:rPr>
                    <w:t>SMOC</w:t>
                  </w:r>
                </w:p>
              </w:tc>
              <w:tc>
                <w:tcPr>
                  <w:tcW w:w="712"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center"/>
                    <w:rPr>
                      <w:rFonts w:ascii="Arial" w:hAnsi="Arial" w:cs="Arial"/>
                      <w:sz w:val="20"/>
                      <w:szCs w:val="20"/>
                    </w:rPr>
                  </w:pPr>
                  <w:r>
                    <w:rPr>
                      <w:rFonts w:ascii="Arial" w:hAnsi="Arial" w:cs="Arial"/>
                      <w:sz w:val="20"/>
                      <w:szCs w:val="20"/>
                    </w:rPr>
                    <w:t>13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E43E0F" w:rsidP="00265292">
                  <w:pPr>
                    <w:spacing w:after="0" w:line="240" w:lineRule="auto"/>
                    <w:jc w:val="center"/>
                    <w:rPr>
                      <w:rFonts w:ascii="Arial" w:hAnsi="Arial" w:cs="Arial"/>
                      <w:sz w:val="20"/>
                      <w:szCs w:val="20"/>
                    </w:rPr>
                  </w:pPr>
                  <w:r>
                    <w:rPr>
                      <w:rFonts w:ascii="Arial" w:hAnsi="Arial" w:cs="Arial"/>
                      <w:sz w:val="20"/>
                      <w:szCs w:val="20"/>
                    </w:rPr>
                    <w:t>17</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13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E43E0F" w:rsidP="00265292">
                  <w:pPr>
                    <w:spacing w:after="0" w:line="240" w:lineRule="auto"/>
                    <w:jc w:val="center"/>
                    <w:rPr>
                      <w:rFonts w:ascii="Arial" w:hAnsi="Arial" w:cs="Arial"/>
                      <w:sz w:val="20"/>
                      <w:szCs w:val="20"/>
                    </w:rPr>
                  </w:pPr>
                  <w:r>
                    <w:rPr>
                      <w:rFonts w:ascii="Arial" w:hAnsi="Arial" w:cs="Arial"/>
                      <w:sz w:val="20"/>
                      <w:szCs w:val="20"/>
                    </w:rPr>
                    <w:t>17</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2</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305D5E" w:rsidP="00265292">
                  <w:pPr>
                    <w:spacing w:after="0" w:line="240" w:lineRule="auto"/>
                    <w:jc w:val="center"/>
                    <w:rPr>
                      <w:rFonts w:ascii="Arial" w:hAnsi="Arial" w:cs="Arial"/>
                      <w:sz w:val="20"/>
                      <w:szCs w:val="20"/>
                    </w:rPr>
                  </w:pPr>
                  <w:r>
                    <w:rPr>
                      <w:rFonts w:ascii="Arial" w:hAnsi="Arial" w:cs="Arial"/>
                      <w:sz w:val="20"/>
                      <w:szCs w:val="20"/>
                    </w:rPr>
                    <w:t>2</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13</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5E1F11" w:rsidP="00265292">
                  <w:pPr>
                    <w:spacing w:after="0" w:line="240" w:lineRule="auto"/>
                    <w:jc w:val="center"/>
                    <w:rPr>
                      <w:rFonts w:ascii="Arial" w:hAnsi="Arial" w:cs="Arial"/>
                      <w:sz w:val="20"/>
                      <w:szCs w:val="20"/>
                    </w:rPr>
                  </w:pPr>
                  <w:r>
                    <w:rPr>
                      <w:rFonts w:ascii="Arial" w:hAnsi="Arial" w:cs="Arial"/>
                      <w:sz w:val="20"/>
                      <w:szCs w:val="20"/>
                    </w:rPr>
                    <w:t>17</w:t>
                  </w:r>
                </w:p>
              </w:tc>
            </w:tr>
            <w:tr w:rsidR="00265292" w:rsidRPr="004F6721" w:rsidTr="00431C31">
              <w:trPr>
                <w:trHeight w:val="30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rsidR="00265292" w:rsidRPr="004F6721" w:rsidRDefault="00265292" w:rsidP="002966F7">
                  <w:pPr>
                    <w:spacing w:after="0" w:line="240" w:lineRule="auto"/>
                    <w:jc w:val="center"/>
                    <w:rPr>
                      <w:rFonts w:ascii="Calibri" w:eastAsia="Times New Roman" w:hAnsi="Calibri" w:cs="Arial"/>
                    </w:rPr>
                  </w:pPr>
                  <w:r>
                    <w:rPr>
                      <w:rFonts w:ascii="Calibri" w:eastAsia="Times New Roman" w:hAnsi="Calibri" w:cs="Arial"/>
                    </w:rPr>
                    <w:t>FHREB</w:t>
                  </w:r>
                </w:p>
              </w:tc>
              <w:tc>
                <w:tcPr>
                  <w:tcW w:w="712"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center"/>
                    <w:rPr>
                      <w:rFonts w:ascii="Arial" w:hAnsi="Arial" w:cs="Arial"/>
                      <w:sz w:val="20"/>
                      <w:szCs w:val="20"/>
                    </w:rPr>
                  </w:pPr>
                  <w:r>
                    <w:rPr>
                      <w:rFonts w:ascii="Arial" w:hAnsi="Arial" w:cs="Arial"/>
                      <w:sz w:val="20"/>
                      <w:szCs w:val="20"/>
                    </w:rPr>
                    <w:t>7</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305D5E" w:rsidP="00265292">
                  <w:pPr>
                    <w:spacing w:after="0" w:line="240" w:lineRule="auto"/>
                    <w:jc w:val="center"/>
                    <w:rPr>
                      <w:rFonts w:ascii="Arial" w:hAnsi="Arial" w:cs="Arial"/>
                      <w:sz w:val="20"/>
                      <w:szCs w:val="20"/>
                    </w:rPr>
                  </w:pPr>
                  <w:r>
                    <w:rPr>
                      <w:rFonts w:ascii="Arial" w:hAnsi="Arial" w:cs="Arial"/>
                      <w:sz w:val="20"/>
                      <w:szCs w:val="20"/>
                    </w:rPr>
                    <w:t>7</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6</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305D5E" w:rsidP="00265292">
                  <w:pPr>
                    <w:spacing w:after="0" w:line="240" w:lineRule="auto"/>
                    <w:jc w:val="center"/>
                    <w:rPr>
                      <w:rFonts w:ascii="Arial" w:hAnsi="Arial" w:cs="Arial"/>
                      <w:sz w:val="20"/>
                      <w:szCs w:val="20"/>
                    </w:rPr>
                  </w:pPr>
                  <w:r>
                    <w:rPr>
                      <w:rFonts w:ascii="Arial" w:hAnsi="Arial" w:cs="Arial"/>
                      <w:sz w:val="20"/>
                      <w:szCs w:val="20"/>
                    </w:rPr>
                    <w:t>7</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6</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305D5E" w:rsidP="00265292">
                  <w:pPr>
                    <w:spacing w:after="0" w:line="240" w:lineRule="auto"/>
                    <w:jc w:val="center"/>
                    <w:rPr>
                      <w:rFonts w:ascii="Arial" w:hAnsi="Arial" w:cs="Arial"/>
                      <w:sz w:val="20"/>
                      <w:szCs w:val="20"/>
                    </w:rPr>
                  </w:pPr>
                  <w:r>
                    <w:rPr>
                      <w:rFonts w:ascii="Arial" w:hAnsi="Arial" w:cs="Arial"/>
                      <w:sz w:val="20"/>
                      <w:szCs w:val="20"/>
                    </w:rPr>
                    <w:t>5</w:t>
                  </w:r>
                </w:p>
              </w:tc>
              <w:tc>
                <w:tcPr>
                  <w:tcW w:w="837" w:type="dxa"/>
                  <w:tcBorders>
                    <w:top w:val="nil"/>
                    <w:left w:val="nil"/>
                    <w:bottom w:val="single" w:sz="4" w:space="0" w:color="auto"/>
                    <w:right w:val="single" w:sz="4" w:space="0" w:color="auto"/>
                  </w:tcBorders>
                  <w:shd w:val="clear" w:color="auto" w:fill="auto"/>
                  <w:noWrap/>
                  <w:vAlign w:val="bottom"/>
                  <w:hideMark/>
                </w:tcPr>
                <w:p w:rsidR="00265292" w:rsidRDefault="00265292" w:rsidP="00265292">
                  <w:pPr>
                    <w:spacing w:after="0" w:line="240" w:lineRule="auto"/>
                    <w:jc w:val="right"/>
                    <w:rPr>
                      <w:rFonts w:ascii="Calibri" w:hAnsi="Calibri" w:cs="Arial"/>
                    </w:rPr>
                  </w:pPr>
                  <w:r>
                    <w:rPr>
                      <w:rFonts w:ascii="Calibri" w:hAnsi="Calibri" w:cs="Arial"/>
                    </w:rPr>
                    <w:t>6</w:t>
                  </w:r>
                </w:p>
              </w:tc>
              <w:tc>
                <w:tcPr>
                  <w:tcW w:w="1083" w:type="dxa"/>
                  <w:tcBorders>
                    <w:top w:val="nil"/>
                    <w:left w:val="nil"/>
                    <w:bottom w:val="single" w:sz="4" w:space="0" w:color="auto"/>
                    <w:right w:val="single" w:sz="4" w:space="0" w:color="auto"/>
                  </w:tcBorders>
                  <w:shd w:val="clear" w:color="auto" w:fill="auto"/>
                  <w:noWrap/>
                  <w:vAlign w:val="bottom"/>
                  <w:hideMark/>
                </w:tcPr>
                <w:p w:rsidR="00265292" w:rsidRDefault="00B82949" w:rsidP="00265292">
                  <w:pPr>
                    <w:spacing w:after="0" w:line="240" w:lineRule="auto"/>
                    <w:jc w:val="center"/>
                    <w:rPr>
                      <w:rFonts w:ascii="Arial" w:hAnsi="Arial" w:cs="Arial"/>
                      <w:sz w:val="20"/>
                      <w:szCs w:val="20"/>
                    </w:rPr>
                  </w:pPr>
                  <w:r>
                    <w:rPr>
                      <w:rFonts w:ascii="Arial" w:hAnsi="Arial" w:cs="Arial"/>
                      <w:sz w:val="20"/>
                      <w:szCs w:val="20"/>
                    </w:rPr>
                    <w:t>6</w:t>
                  </w:r>
                </w:p>
              </w:tc>
            </w:tr>
          </w:tbl>
          <w:p w:rsidR="00250B29" w:rsidRDefault="00250B29" w:rsidP="001F730D">
            <w:pPr>
              <w:jc w:val="center"/>
              <w:rPr>
                <w:noProof/>
              </w:rPr>
            </w:pPr>
          </w:p>
        </w:tc>
      </w:tr>
    </w:tbl>
    <w:p w:rsidR="006E4BE7" w:rsidRDefault="00E43E0F" w:rsidP="004C5035">
      <w:pPr>
        <w:rPr>
          <w:noProof/>
        </w:rPr>
      </w:pPr>
      <w:r w:rsidRPr="00E43E0F">
        <w:rPr>
          <w:noProof/>
        </w:rPr>
        <w:t xml:space="preserve">  </w:t>
      </w:r>
    </w:p>
    <w:p w:rsidR="00CF2F3F" w:rsidRPr="00273AEE" w:rsidRDefault="00E30A52" w:rsidP="004C5035">
      <w:r>
        <w:rPr>
          <w:noProof/>
        </w:rPr>
        <w:drawing>
          <wp:inline distT="0" distB="0" distL="0" distR="0" wp14:anchorId="43897B2C" wp14:editId="702E4121">
            <wp:extent cx="6858000" cy="42386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710AA">
        <w:rPr>
          <w:noProof/>
        </w:rPr>
        <mc:AlternateContent>
          <mc:Choice Requires="wps">
            <w:drawing>
              <wp:anchor distT="0" distB="0" distL="114300" distR="114300" simplePos="0" relativeHeight="251715071" behindDoc="0" locked="0" layoutInCell="1" allowOverlap="1" wp14:anchorId="66E11C9C" wp14:editId="65137F9C">
                <wp:simplePos x="0" y="0"/>
                <wp:positionH relativeFrom="column">
                  <wp:posOffset>371475</wp:posOffset>
                </wp:positionH>
                <wp:positionV relativeFrom="paragraph">
                  <wp:posOffset>4780915</wp:posOffset>
                </wp:positionV>
                <wp:extent cx="2374265" cy="1403985"/>
                <wp:effectExtent l="0" t="0" r="2667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710AA" w:rsidRDefault="00A710AA" w:rsidP="00A710AA">
                            <w:r>
                              <w:t xml:space="preserve">*In January 2015 the Boston Housing Authority and University of Massachusetts Amherst were awarded additional resources, funded through Massachusetts Department of Transportation to serve more individuals. These increases are reflected in the dashboard. This also extended the training period for these two grants to </w:t>
                            </w:r>
                            <w:proofErr w:type="gramStart"/>
                            <w:r>
                              <w:t>Spring</w:t>
                            </w:r>
                            <w:proofErr w:type="gramEnd"/>
                            <w:r>
                              <w:t xml:space="preserve"> 2016.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E11C9C" id="_x0000_s1031" type="#_x0000_t202" style="position:absolute;margin-left:29.25pt;margin-top:376.45pt;width:186.95pt;height:110.55pt;z-index:25171507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">
                <v:textbox style="mso-fit-shape-to-text:t">
                  <w:txbxContent>
                    <w:p w:rsidR="00A710AA" w:rsidRDefault="00A710AA" w:rsidP="00A710AA">
                      <w:r>
                        <w:t xml:space="preserve">*In January 2015 the Boston Housing Authority and University of Massachusetts Amherst were awarded additional resources, funded through Massachusetts Department of Transportation to serve more individuals. These increases are reflected in the dashboard. This also extended the training period for these two grants to </w:t>
                      </w:r>
                      <w:proofErr w:type="gramStart"/>
                      <w:r>
                        <w:t>Spring</w:t>
                      </w:r>
                      <w:proofErr w:type="gramEnd"/>
                      <w:r>
                        <w:t xml:space="preserve"> 2016. </w:t>
                      </w:r>
                    </w:p>
                  </w:txbxContent>
                </v:textbox>
              </v:shape>
            </w:pict>
          </mc:Fallback>
        </mc:AlternateContent>
      </w:r>
    </w:p>
    <w:sectPr w:rsidR="00CF2F3F" w:rsidRPr="00273AEE" w:rsidSect="00524DD0">
      <w:headerReference w:type="default" r:id="rId13"/>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70" w:rsidRDefault="00A56D70" w:rsidP="00CF2F3F">
      <w:pPr>
        <w:spacing w:after="0" w:line="240" w:lineRule="auto"/>
      </w:pPr>
      <w:r>
        <w:separator/>
      </w:r>
    </w:p>
  </w:endnote>
  <w:endnote w:type="continuationSeparator" w:id="0">
    <w:p w:rsidR="00A56D70" w:rsidRDefault="00A56D70" w:rsidP="00CF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70" w:rsidRDefault="00A56D70" w:rsidP="00CF2F3F">
      <w:pPr>
        <w:spacing w:after="0" w:line="240" w:lineRule="auto"/>
      </w:pPr>
      <w:r>
        <w:separator/>
      </w:r>
    </w:p>
  </w:footnote>
  <w:footnote w:type="continuationSeparator" w:id="0">
    <w:p w:rsidR="00A56D70" w:rsidRDefault="00A56D70" w:rsidP="00CF2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70" w:rsidRPr="00A37F56" w:rsidRDefault="00A56D70" w:rsidP="003142EA">
    <w:pPr>
      <w:pStyle w:val="Header"/>
      <w:ind w:left="2160"/>
      <w:rPr>
        <w:rFonts w:ascii="Arial" w:hAnsi="Arial" w:cs="Arial"/>
        <w:b/>
        <w:i/>
        <w:sz w:val="32"/>
        <w:szCs w:val="32"/>
      </w:rPr>
    </w:pPr>
    <w:r w:rsidRPr="00A37F56">
      <w:rPr>
        <w:rFonts w:ascii="Arial" w:hAnsi="Arial" w:cs="Arial"/>
        <w:b/>
        <w:i/>
        <w:noProof/>
      </w:rPr>
      <w:drawing>
        <wp:anchor distT="0" distB="0" distL="114300" distR="114300" simplePos="0" relativeHeight="251659264" behindDoc="0" locked="0" layoutInCell="1" allowOverlap="1" wp14:anchorId="4B44BF1D" wp14:editId="2764A257">
          <wp:simplePos x="0" y="0"/>
          <wp:positionH relativeFrom="margin">
            <wp:posOffset>9934575</wp:posOffset>
          </wp:positionH>
          <wp:positionV relativeFrom="margin">
            <wp:posOffset>-800735</wp:posOffset>
          </wp:positionV>
          <wp:extent cx="2103755" cy="650240"/>
          <wp:effectExtent l="0" t="0" r="0" b="0"/>
          <wp:wrapThrough wrapText="bothSides">
            <wp:wrapPolygon edited="0">
              <wp:start x="0" y="0"/>
              <wp:lineTo x="0" y="20883"/>
              <wp:lineTo x="21320" y="20883"/>
              <wp:lineTo x="213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755"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i/>
        <w:sz w:val="32"/>
        <w:szCs w:val="32"/>
      </w:rPr>
      <w:t>Workforce Competitiveness T</w:t>
    </w:r>
    <w:r w:rsidR="00947767">
      <w:rPr>
        <w:rFonts w:ascii="Arial" w:hAnsi="Arial" w:cs="Arial"/>
        <w:b/>
        <w:i/>
        <w:sz w:val="32"/>
        <w:szCs w:val="32"/>
      </w:rPr>
      <w:t>r</w:t>
    </w:r>
    <w:r>
      <w:rPr>
        <w:rFonts w:ascii="Arial" w:hAnsi="Arial" w:cs="Arial"/>
        <w:b/>
        <w:i/>
        <w:sz w:val="32"/>
        <w:szCs w:val="32"/>
      </w:rPr>
      <w:t xml:space="preserve">ust Fund Addressing the Middle Skills Gap </w:t>
    </w:r>
    <w:r w:rsidRPr="00A37F56">
      <w:rPr>
        <w:rFonts w:ascii="Arial" w:hAnsi="Arial" w:cs="Arial"/>
        <w:b/>
        <w:i/>
        <w:sz w:val="32"/>
        <w:szCs w:val="32"/>
      </w:rPr>
      <w:t>Dashboard</w:t>
    </w:r>
  </w:p>
  <w:p w:rsidR="00A56D70" w:rsidRDefault="00F638E7" w:rsidP="003142EA">
    <w:pPr>
      <w:pStyle w:val="Header"/>
      <w:jc w:val="center"/>
      <w:rPr>
        <w:rFonts w:ascii="Arial" w:hAnsi="Arial" w:cs="Arial"/>
        <w:b/>
        <w:i/>
        <w:sz w:val="32"/>
        <w:szCs w:val="32"/>
      </w:rPr>
    </w:pPr>
    <w:r>
      <w:rPr>
        <w:rFonts w:ascii="Arial" w:hAnsi="Arial" w:cs="Arial"/>
        <w:b/>
        <w:i/>
        <w:sz w:val="32"/>
        <w:szCs w:val="32"/>
      </w:rPr>
      <w:t>Final Cumulative Performance</w:t>
    </w:r>
  </w:p>
  <w:p w:rsidR="0003070C" w:rsidRDefault="0003070C" w:rsidP="003142EA">
    <w:pPr>
      <w:pStyle w:val="Header"/>
      <w:jc w:val="center"/>
      <w:rPr>
        <w:rFonts w:ascii="Arial" w:hAnsi="Arial" w:cs="Arial"/>
        <w:b/>
        <w: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bullet"/>
      <w:lvlText w:val=""/>
      <w:lvlJc w:val="left"/>
      <w:pPr>
        <w:tabs>
          <w:tab w:val="num" w:pos="0"/>
        </w:tabs>
        <w:ind w:left="1440" w:hanging="360"/>
      </w:pPr>
      <w:rPr>
        <w:rFonts w:ascii="Symbol" w:hAnsi="Symbol"/>
      </w:rPr>
    </w:lvl>
  </w:abstractNum>
  <w:abstractNum w:abstractNumId="1" w15:restartNumberingAfterBreak="0">
    <w:nsid w:val="4AEC776B"/>
    <w:multiLevelType w:val="hybridMultilevel"/>
    <w:tmpl w:val="77B85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5777">
      <o:colormenu v:ext="edit" stroke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3F"/>
    <w:rsid w:val="00027ACC"/>
    <w:rsid w:val="0003070C"/>
    <w:rsid w:val="000A4D3D"/>
    <w:rsid w:val="000F5337"/>
    <w:rsid w:val="0010674A"/>
    <w:rsid w:val="00182985"/>
    <w:rsid w:val="00197A63"/>
    <w:rsid w:val="001A33F6"/>
    <w:rsid w:val="001D1C8A"/>
    <w:rsid w:val="001F730D"/>
    <w:rsid w:val="00220F6E"/>
    <w:rsid w:val="00234F8D"/>
    <w:rsid w:val="00250B29"/>
    <w:rsid w:val="00265292"/>
    <w:rsid w:val="00273AEE"/>
    <w:rsid w:val="002772BF"/>
    <w:rsid w:val="00295561"/>
    <w:rsid w:val="00296626"/>
    <w:rsid w:val="002966F7"/>
    <w:rsid w:val="002A30B5"/>
    <w:rsid w:val="002B1966"/>
    <w:rsid w:val="002D5703"/>
    <w:rsid w:val="002E77BB"/>
    <w:rsid w:val="00302D7C"/>
    <w:rsid w:val="00305D5E"/>
    <w:rsid w:val="003142EA"/>
    <w:rsid w:val="00314459"/>
    <w:rsid w:val="00335335"/>
    <w:rsid w:val="00353721"/>
    <w:rsid w:val="003B7C22"/>
    <w:rsid w:val="003C2F56"/>
    <w:rsid w:val="003E79DC"/>
    <w:rsid w:val="003F6172"/>
    <w:rsid w:val="0043136E"/>
    <w:rsid w:val="00431C31"/>
    <w:rsid w:val="00444F4D"/>
    <w:rsid w:val="00447BD4"/>
    <w:rsid w:val="0047308B"/>
    <w:rsid w:val="00476964"/>
    <w:rsid w:val="004775B4"/>
    <w:rsid w:val="0049094D"/>
    <w:rsid w:val="004A6465"/>
    <w:rsid w:val="004C5035"/>
    <w:rsid w:val="004D2F88"/>
    <w:rsid w:val="004E7816"/>
    <w:rsid w:val="004F5CDE"/>
    <w:rsid w:val="004F6721"/>
    <w:rsid w:val="004F6FA1"/>
    <w:rsid w:val="005038F3"/>
    <w:rsid w:val="00503D53"/>
    <w:rsid w:val="00524DD0"/>
    <w:rsid w:val="005567F1"/>
    <w:rsid w:val="00561461"/>
    <w:rsid w:val="0059146A"/>
    <w:rsid w:val="005C481F"/>
    <w:rsid w:val="005D1A17"/>
    <w:rsid w:val="005E1929"/>
    <w:rsid w:val="005E1F11"/>
    <w:rsid w:val="00601A46"/>
    <w:rsid w:val="00632DC0"/>
    <w:rsid w:val="006804B9"/>
    <w:rsid w:val="0068088B"/>
    <w:rsid w:val="006864CA"/>
    <w:rsid w:val="006C5075"/>
    <w:rsid w:val="006C5F53"/>
    <w:rsid w:val="006C6D5C"/>
    <w:rsid w:val="006E4BE7"/>
    <w:rsid w:val="0071183F"/>
    <w:rsid w:val="00723E20"/>
    <w:rsid w:val="00760167"/>
    <w:rsid w:val="00772520"/>
    <w:rsid w:val="007922DA"/>
    <w:rsid w:val="00805EB9"/>
    <w:rsid w:val="008106ED"/>
    <w:rsid w:val="008352A2"/>
    <w:rsid w:val="008A086D"/>
    <w:rsid w:val="008A15CC"/>
    <w:rsid w:val="008B733D"/>
    <w:rsid w:val="008D5BE6"/>
    <w:rsid w:val="008E12CB"/>
    <w:rsid w:val="008E326F"/>
    <w:rsid w:val="008F05E2"/>
    <w:rsid w:val="00914D5A"/>
    <w:rsid w:val="009167E2"/>
    <w:rsid w:val="009452EA"/>
    <w:rsid w:val="009455DB"/>
    <w:rsid w:val="0094749F"/>
    <w:rsid w:val="00947767"/>
    <w:rsid w:val="00964779"/>
    <w:rsid w:val="00992720"/>
    <w:rsid w:val="00995C15"/>
    <w:rsid w:val="009A0AFB"/>
    <w:rsid w:val="00A02E8F"/>
    <w:rsid w:val="00A328D9"/>
    <w:rsid w:val="00A37F56"/>
    <w:rsid w:val="00A56D70"/>
    <w:rsid w:val="00A710AA"/>
    <w:rsid w:val="00AB6AAC"/>
    <w:rsid w:val="00AF6075"/>
    <w:rsid w:val="00B21D50"/>
    <w:rsid w:val="00B274C3"/>
    <w:rsid w:val="00B45AC6"/>
    <w:rsid w:val="00B73386"/>
    <w:rsid w:val="00B82949"/>
    <w:rsid w:val="00B91EED"/>
    <w:rsid w:val="00BF0016"/>
    <w:rsid w:val="00C40BAF"/>
    <w:rsid w:val="00C877D3"/>
    <w:rsid w:val="00CC555D"/>
    <w:rsid w:val="00CE131B"/>
    <w:rsid w:val="00CF2F3F"/>
    <w:rsid w:val="00D03CF3"/>
    <w:rsid w:val="00D1593B"/>
    <w:rsid w:val="00D179CF"/>
    <w:rsid w:val="00D664F5"/>
    <w:rsid w:val="00D82F76"/>
    <w:rsid w:val="00D90EDF"/>
    <w:rsid w:val="00D93A26"/>
    <w:rsid w:val="00DA173C"/>
    <w:rsid w:val="00DB4880"/>
    <w:rsid w:val="00DC0781"/>
    <w:rsid w:val="00DC62D6"/>
    <w:rsid w:val="00DD2F5E"/>
    <w:rsid w:val="00E07A53"/>
    <w:rsid w:val="00E16C7B"/>
    <w:rsid w:val="00E30A52"/>
    <w:rsid w:val="00E43E0F"/>
    <w:rsid w:val="00E539F6"/>
    <w:rsid w:val="00E676A4"/>
    <w:rsid w:val="00EB0230"/>
    <w:rsid w:val="00EB0B39"/>
    <w:rsid w:val="00EE15B3"/>
    <w:rsid w:val="00F15B25"/>
    <w:rsid w:val="00F31529"/>
    <w:rsid w:val="00F638E7"/>
    <w:rsid w:val="00F66237"/>
    <w:rsid w:val="00F707F4"/>
    <w:rsid w:val="00F95A36"/>
    <w:rsid w:val="00F97C60"/>
    <w:rsid w:val="00FC2B6C"/>
    <w:rsid w:val="00FE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strokecolor="none [3213]"/>
    </o:shapedefaults>
    <o:shapelayout v:ext="edit">
      <o:idmap v:ext="edit" data="1"/>
    </o:shapelayout>
  </w:shapeDefaults>
  <w:decimalSymbol w:val="."/>
  <w:listSeparator w:val=","/>
  <w15:docId w15:val="{DAAFB7DA-4DE3-4B06-8A75-FFD67F42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3F"/>
  </w:style>
  <w:style w:type="paragraph" w:styleId="Footer">
    <w:name w:val="footer"/>
    <w:basedOn w:val="Normal"/>
    <w:link w:val="FooterChar"/>
    <w:uiPriority w:val="99"/>
    <w:unhideWhenUsed/>
    <w:rsid w:val="00CF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3F"/>
  </w:style>
  <w:style w:type="paragraph" w:styleId="BalloonText">
    <w:name w:val="Balloon Text"/>
    <w:basedOn w:val="Normal"/>
    <w:link w:val="BalloonTextChar"/>
    <w:uiPriority w:val="99"/>
    <w:semiHidden/>
    <w:unhideWhenUsed/>
    <w:rsid w:val="00CF2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3F"/>
    <w:rPr>
      <w:rFonts w:ascii="Tahoma" w:hAnsi="Tahoma" w:cs="Tahoma"/>
      <w:sz w:val="16"/>
      <w:szCs w:val="16"/>
    </w:rPr>
  </w:style>
  <w:style w:type="paragraph" w:styleId="ListParagraph">
    <w:name w:val="List Paragraph"/>
    <w:basedOn w:val="Normal"/>
    <w:uiPriority w:val="34"/>
    <w:qFormat/>
    <w:rsid w:val="00476964"/>
    <w:pPr>
      <w:ind w:left="720"/>
      <w:contextualSpacing/>
    </w:pPr>
  </w:style>
  <w:style w:type="paragraph" w:styleId="Caption">
    <w:name w:val="caption"/>
    <w:basedOn w:val="Normal"/>
    <w:next w:val="Normal"/>
    <w:uiPriority w:val="35"/>
    <w:unhideWhenUsed/>
    <w:qFormat/>
    <w:rsid w:val="00964779"/>
    <w:pPr>
      <w:spacing w:line="240" w:lineRule="auto"/>
    </w:pPr>
    <w:rPr>
      <w:b/>
      <w:bCs/>
      <w:color w:val="4F81BD" w:themeColor="accent1"/>
      <w:sz w:val="18"/>
      <w:szCs w:val="18"/>
    </w:rPr>
  </w:style>
  <w:style w:type="table" w:styleId="TableGrid">
    <w:name w:val="Table Grid"/>
    <w:basedOn w:val="TableNormal"/>
    <w:uiPriority w:val="59"/>
    <w:rsid w:val="008A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14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fs1\data\SECTOR\WCTF\Jobs%20Bill%202012\Program%20Management\Dashboard\WCTF%20Dashboard%20Quarterly%206-30-16%20Partial.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Enrollments - Unemployed Participants</a:t>
            </a:r>
          </a:p>
        </c:rich>
      </c:tx>
      <c:layout>
        <c:manualLayout>
          <c:xMode val="edge"/>
          <c:yMode val="edge"/>
          <c:x val="0.20070866141732283"/>
          <c:y val="1.5229952599208682E-2"/>
        </c:manualLayout>
      </c:layout>
      <c:overlay val="0"/>
    </c:title>
    <c:autoTitleDeleted val="0"/>
    <c:plotArea>
      <c:layout>
        <c:manualLayout>
          <c:layoutTarget val="inner"/>
          <c:xMode val="edge"/>
          <c:yMode val="edge"/>
          <c:x val="0.29726495379876344"/>
          <c:y val="0.15739436807687174"/>
          <c:w val="0.67220674534038105"/>
          <c:h val="0.71271376879388393"/>
        </c:manualLayout>
      </c:layout>
      <c:barChart>
        <c:barDir val="bar"/>
        <c:grouping val="stacked"/>
        <c:varyColors val="0"/>
        <c:ser>
          <c:idx val="5"/>
          <c:order val="0"/>
          <c:tx>
            <c:strRef>
              <c:f>'Un Enrollments'!$O$2</c:f>
              <c:strCache>
                <c:ptCount val="1"/>
                <c:pt idx="0">
                  <c:v>Actual</c:v>
                </c:pt>
              </c:strCache>
            </c:strRef>
          </c:tx>
          <c:spPr>
            <a:solidFill>
              <a:srgbClr val="AAB300"/>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'Un Enrollments'!$A$3:$A$17</c:f>
              <c:strCache>
                <c:ptCount val="15"/>
                <c:pt idx="0">
                  <c:v>YBB (Goal: 45)</c:v>
                </c:pt>
                <c:pt idx="1">
                  <c:v>UMA (Goal: 75)</c:v>
                </c:pt>
                <c:pt idx="2">
                  <c:v>SSCAC (Goal: 32)</c:v>
                </c:pt>
                <c:pt idx="3">
                  <c:v>SMOC (Goal: 34)</c:v>
                </c:pt>
                <c:pt idx="4">
                  <c:v>NSWIB (Goal: 70)</c:v>
                </c:pt>
                <c:pt idx="5">
                  <c:v>NCWIB (Goal: 60)</c:v>
                </c:pt>
                <c:pt idx="6">
                  <c:v>NBEDC (Goal: 40)</c:v>
                </c:pt>
                <c:pt idx="7">
                  <c:v>HREB (Goal: 60)</c:v>
                </c:pt>
                <c:pt idx="8">
                  <c:v>FHREB (Goal: 41)</c:v>
                </c:pt>
                <c:pt idx="9">
                  <c:v>CWS (Goal: 80)</c:v>
                </c:pt>
                <c:pt idx="10">
                  <c:v>Cape (Goal: 46)</c:v>
                </c:pt>
                <c:pt idx="11">
                  <c:v>BWIB (Goal: 50)</c:v>
                </c:pt>
                <c:pt idx="12">
                  <c:v>BREB (Goal: 72)</c:v>
                </c:pt>
                <c:pt idx="13">
                  <c:v>BHA (Goal: 120)</c:v>
                </c:pt>
                <c:pt idx="14">
                  <c:v>ABCD (Goal: 35)</c:v>
                </c:pt>
              </c:strCache>
            </c:strRef>
          </c:cat>
          <c:val>
            <c:numRef>
              <c:f>'Un Enrollments'!$O$3:$O$17</c:f>
              <c:numCache>
                <c:formatCode>General</c:formatCode>
                <c:ptCount val="15"/>
                <c:pt idx="0">
                  <c:v>46</c:v>
                </c:pt>
                <c:pt idx="1">
                  <c:v>82</c:v>
                </c:pt>
                <c:pt idx="2">
                  <c:v>35</c:v>
                </c:pt>
                <c:pt idx="3">
                  <c:v>34</c:v>
                </c:pt>
                <c:pt idx="4">
                  <c:v>70</c:v>
                </c:pt>
                <c:pt idx="5">
                  <c:v>61</c:v>
                </c:pt>
                <c:pt idx="6">
                  <c:v>43</c:v>
                </c:pt>
                <c:pt idx="7">
                  <c:v>60</c:v>
                </c:pt>
                <c:pt idx="8">
                  <c:v>49</c:v>
                </c:pt>
                <c:pt idx="9">
                  <c:v>88</c:v>
                </c:pt>
                <c:pt idx="10">
                  <c:v>40</c:v>
                </c:pt>
                <c:pt idx="11">
                  <c:v>51</c:v>
                </c:pt>
                <c:pt idx="12">
                  <c:v>73</c:v>
                </c:pt>
                <c:pt idx="13">
                  <c:v>132</c:v>
                </c:pt>
                <c:pt idx="14">
                  <c:v>39</c:v>
                </c:pt>
              </c:numCache>
            </c:numRef>
          </c:val>
        </c:ser>
        <c:ser>
          <c:idx val="6"/>
          <c:order val="1"/>
          <c:tx>
            <c:strRef>
              <c:f>'Un Enrollments'!$P$2</c:f>
              <c:strCache>
                <c:ptCount val="1"/>
                <c:pt idx="0">
                  <c:v>Balance of Quarterly Goal</c:v>
                </c:pt>
              </c:strCache>
            </c:strRef>
          </c:tx>
          <c:spPr>
            <a:solidFill>
              <a:srgbClr val="0079C1"/>
            </a:solidFill>
          </c:spPr>
          <c:invertIfNegative val="0"/>
          <c:dLbls>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'Un Enrollments'!$A$3:$A$17</c:f>
              <c:strCache>
                <c:ptCount val="15"/>
                <c:pt idx="0">
                  <c:v>YBB (Goal: 45)</c:v>
                </c:pt>
                <c:pt idx="1">
                  <c:v>UMA (Goal: 75)</c:v>
                </c:pt>
                <c:pt idx="2">
                  <c:v>SSCAC (Goal: 32)</c:v>
                </c:pt>
                <c:pt idx="3">
                  <c:v>SMOC (Goal: 34)</c:v>
                </c:pt>
                <c:pt idx="4">
                  <c:v>NSWIB (Goal: 70)</c:v>
                </c:pt>
                <c:pt idx="5">
                  <c:v>NCWIB (Goal: 60)</c:v>
                </c:pt>
                <c:pt idx="6">
                  <c:v>NBEDC (Goal: 40)</c:v>
                </c:pt>
                <c:pt idx="7">
                  <c:v>HREB (Goal: 60)</c:v>
                </c:pt>
                <c:pt idx="8">
                  <c:v>FHREB (Goal: 41)</c:v>
                </c:pt>
                <c:pt idx="9">
                  <c:v>CWS (Goal: 80)</c:v>
                </c:pt>
                <c:pt idx="10">
                  <c:v>Cape (Goal: 46)</c:v>
                </c:pt>
                <c:pt idx="11">
                  <c:v>BWIB (Goal: 50)</c:v>
                </c:pt>
                <c:pt idx="12">
                  <c:v>BREB (Goal: 72)</c:v>
                </c:pt>
                <c:pt idx="13">
                  <c:v>BHA (Goal: 120)</c:v>
                </c:pt>
                <c:pt idx="14">
                  <c:v>ABCD (Goal: 35)</c:v>
                </c:pt>
              </c:strCache>
            </c:strRef>
          </c:cat>
          <c:val>
            <c:numRef>
              <c:f>'Un Enrollments'!$P$3:$P$17</c:f>
              <c:numCache>
                <c:formatCode>0</c:formatCode>
                <c:ptCount val="15"/>
                <c:pt idx="0">
                  <c:v>-1</c:v>
                </c:pt>
                <c:pt idx="1">
                  <c:v>-7</c:v>
                </c:pt>
                <c:pt idx="2">
                  <c:v>-3</c:v>
                </c:pt>
                <c:pt idx="3">
                  <c:v>0</c:v>
                </c:pt>
                <c:pt idx="4">
                  <c:v>0</c:v>
                </c:pt>
                <c:pt idx="5">
                  <c:v>-1</c:v>
                </c:pt>
                <c:pt idx="6">
                  <c:v>-3</c:v>
                </c:pt>
                <c:pt idx="7">
                  <c:v>0</c:v>
                </c:pt>
                <c:pt idx="8">
                  <c:v>-8</c:v>
                </c:pt>
                <c:pt idx="9">
                  <c:v>-8</c:v>
                </c:pt>
                <c:pt idx="10">
                  <c:v>6</c:v>
                </c:pt>
                <c:pt idx="11">
                  <c:v>-1</c:v>
                </c:pt>
                <c:pt idx="12">
                  <c:v>-1</c:v>
                </c:pt>
                <c:pt idx="13">
                  <c:v>-12</c:v>
                </c:pt>
                <c:pt idx="14">
                  <c:v>-4</c:v>
                </c:pt>
              </c:numCache>
            </c:numRef>
          </c:val>
        </c:ser>
        <c:ser>
          <c:idx val="7"/>
          <c:order val="2"/>
          <c:tx>
            <c:strRef>
              <c:f>'Un Enrollments'!$Q$2</c:f>
              <c:strCache>
                <c:ptCount val="1"/>
                <c:pt idx="0">
                  <c:v>Percent of Quarterly Goal</c:v>
                </c:pt>
              </c:strCache>
            </c:strRef>
          </c:tx>
          <c:spPr>
            <a:solidFill>
              <a:schemeClr val="bg1"/>
            </a:solidFill>
          </c:spPr>
          <c:invertIfNegative val="0"/>
          <c:dLbls>
            <c:spPr>
              <a:noFill/>
            </c:spPr>
            <c:txPr>
              <a:bodyPr wrap="square" lIns="38100" tIns="19050" rIns="38100" bIns="19050" anchor="ctr">
                <a:spAutoFit/>
              </a:bodyPr>
              <a:lstStyle/>
              <a:p>
                <a:pPr>
                  <a:defRPr sz="1000" b="0" i="0" u="none" strike="noStrike" baseline="0">
                    <a:solidFill>
                      <a:srgbClr val="FF0000"/>
                    </a:solidFill>
                    <a:latin typeface="Calibri"/>
                    <a:ea typeface="Calibri"/>
                    <a:cs typeface="Calibri"/>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'Un Enrollments'!$A$3:$A$17</c:f>
              <c:strCache>
                <c:ptCount val="15"/>
                <c:pt idx="0">
                  <c:v>YBB (Goal: 45)</c:v>
                </c:pt>
                <c:pt idx="1">
                  <c:v>UMA (Goal: 75)</c:v>
                </c:pt>
                <c:pt idx="2">
                  <c:v>SSCAC (Goal: 32)</c:v>
                </c:pt>
                <c:pt idx="3">
                  <c:v>SMOC (Goal: 34)</c:v>
                </c:pt>
                <c:pt idx="4">
                  <c:v>NSWIB (Goal: 70)</c:v>
                </c:pt>
                <c:pt idx="5">
                  <c:v>NCWIB (Goal: 60)</c:v>
                </c:pt>
                <c:pt idx="6">
                  <c:v>NBEDC (Goal: 40)</c:v>
                </c:pt>
                <c:pt idx="7">
                  <c:v>HREB (Goal: 60)</c:v>
                </c:pt>
                <c:pt idx="8">
                  <c:v>FHREB (Goal: 41)</c:v>
                </c:pt>
                <c:pt idx="9">
                  <c:v>CWS (Goal: 80)</c:v>
                </c:pt>
                <c:pt idx="10">
                  <c:v>Cape (Goal: 46)</c:v>
                </c:pt>
                <c:pt idx="11">
                  <c:v>BWIB (Goal: 50)</c:v>
                </c:pt>
                <c:pt idx="12">
                  <c:v>BREB (Goal: 72)</c:v>
                </c:pt>
                <c:pt idx="13">
                  <c:v>BHA (Goal: 120)</c:v>
                </c:pt>
                <c:pt idx="14">
                  <c:v>ABCD (Goal: 35)</c:v>
                </c:pt>
              </c:strCache>
            </c:strRef>
          </c:cat>
          <c:val>
            <c:numRef>
              <c:f>'Un Enrollments'!$Q$3:$Q$17</c:f>
              <c:numCache>
                <c:formatCode>0%</c:formatCode>
                <c:ptCount val="15"/>
                <c:pt idx="0">
                  <c:v>1.0222222222222221</c:v>
                </c:pt>
                <c:pt idx="1">
                  <c:v>1.0933333333333333</c:v>
                </c:pt>
                <c:pt idx="2">
                  <c:v>1.09375</c:v>
                </c:pt>
                <c:pt idx="3">
                  <c:v>1</c:v>
                </c:pt>
                <c:pt idx="4">
                  <c:v>1</c:v>
                </c:pt>
                <c:pt idx="5">
                  <c:v>1.0166666666666666</c:v>
                </c:pt>
                <c:pt idx="6">
                  <c:v>1.075</c:v>
                </c:pt>
                <c:pt idx="7">
                  <c:v>1</c:v>
                </c:pt>
                <c:pt idx="8">
                  <c:v>1.1951219512195121</c:v>
                </c:pt>
                <c:pt idx="9">
                  <c:v>1.1000000000000001</c:v>
                </c:pt>
                <c:pt idx="10">
                  <c:v>0.86956521739130432</c:v>
                </c:pt>
                <c:pt idx="11">
                  <c:v>1.02</c:v>
                </c:pt>
                <c:pt idx="12">
                  <c:v>1.0138888888888888</c:v>
                </c:pt>
                <c:pt idx="13">
                  <c:v>1.1000000000000001</c:v>
                </c:pt>
                <c:pt idx="14">
                  <c:v>1.1142857142857143</c:v>
                </c:pt>
              </c:numCache>
            </c:numRef>
          </c:val>
        </c:ser>
        <c:dLbls>
          <c:showLegendKey val="0"/>
          <c:showVal val="0"/>
          <c:showCatName val="0"/>
          <c:showSerName val="0"/>
          <c:showPercent val="0"/>
          <c:showBubbleSize val="0"/>
        </c:dLbls>
        <c:gapWidth val="150"/>
        <c:overlap val="100"/>
        <c:axId val="618512688"/>
        <c:axId val="618498000"/>
      </c:barChart>
      <c:catAx>
        <c:axId val="61851268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8498000"/>
        <c:crosses val="autoZero"/>
        <c:auto val="1"/>
        <c:lblAlgn val="ctr"/>
        <c:lblOffset val="100"/>
        <c:noMultiLvlLbl val="0"/>
      </c:catAx>
      <c:valAx>
        <c:axId val="618498000"/>
        <c:scaling>
          <c:orientation val="minMax"/>
          <c:max val="150"/>
          <c:min val="0"/>
        </c:scaling>
        <c:delete val="0"/>
        <c:axPos val="b"/>
        <c:majorGridlines/>
        <c:numFmt formatCode="General" sourceLinked="1"/>
        <c:majorTickMark val="out"/>
        <c:minorTickMark val="none"/>
        <c:tickLblPos val="low"/>
        <c:txPr>
          <a:bodyPr rot="0" vert="horz"/>
          <a:lstStyle/>
          <a:p>
            <a:pPr>
              <a:defRPr sz="1000" b="0" i="0" u="none" strike="noStrike" baseline="0">
                <a:solidFill>
                  <a:srgbClr val="000000"/>
                </a:solidFill>
                <a:latin typeface="Calibri"/>
                <a:ea typeface="Calibri"/>
                <a:cs typeface="Calibri"/>
              </a:defRPr>
            </a:pPr>
            <a:endParaRPr lang="en-US"/>
          </a:p>
        </c:txPr>
        <c:crossAx val="618512688"/>
        <c:crosses val="autoZero"/>
        <c:crossBetween val="between"/>
      </c:valAx>
    </c:plotArea>
    <c:legend>
      <c:legendPos val="b"/>
      <c:legendEntry>
        <c:idx val="2"/>
        <c:txPr>
          <a:bodyPr/>
          <a:lstStyle/>
          <a:p>
            <a:pPr>
              <a:defRPr sz="500" b="0" i="0" u="none" strike="noStrike" baseline="0">
                <a:solidFill>
                  <a:srgbClr val="FF0000"/>
                </a:solidFill>
                <a:latin typeface="Calibri"/>
                <a:ea typeface="Calibri"/>
                <a:cs typeface="Calibri"/>
              </a:defRPr>
            </a:pPr>
            <a:endParaRPr lang="en-US"/>
          </a:p>
        </c:txPr>
      </c:legendEntry>
      <c:layout/>
      <c:overlay val="0"/>
      <c:txPr>
        <a:bodyPr/>
        <a:lstStyle/>
        <a:p>
          <a:pPr>
            <a:defRPr sz="5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alibri"/>
                <a:ea typeface="Calibri"/>
                <a:cs typeface="Calibri"/>
              </a:defRPr>
            </a:pPr>
            <a:r>
              <a:rPr lang="en-US" sz="1800" b="1" i="0" u="none" strike="noStrike" baseline="0">
                <a:solidFill>
                  <a:srgbClr val="000000"/>
                </a:solidFill>
                <a:latin typeface="Calibri"/>
              </a:rPr>
              <a:t>Completions - Unemployed Participants</a:t>
            </a:r>
          </a:p>
          <a:p>
            <a:pPr>
              <a:defRPr sz="1000" b="1" i="0" u="none" strike="noStrike" baseline="0">
                <a:solidFill>
                  <a:srgbClr val="000000"/>
                </a:solidFill>
                <a:latin typeface="Calibri"/>
                <a:ea typeface="Calibri"/>
                <a:cs typeface="Calibri"/>
              </a:defRPr>
            </a:pPr>
            <a:r>
              <a:rPr lang="en-US" sz="1400" b="0" i="0" u="none" strike="noStrike" baseline="0">
                <a:solidFill>
                  <a:srgbClr val="000000"/>
                </a:solidFill>
                <a:latin typeface="Calibri"/>
              </a:rPr>
              <a:t>90% Completion Rate</a:t>
            </a:r>
          </a:p>
        </c:rich>
      </c:tx>
      <c:layout/>
      <c:overlay val="0"/>
    </c:title>
    <c:autoTitleDeleted val="0"/>
    <c:plotArea>
      <c:layout>
        <c:manualLayout>
          <c:layoutTarget val="inner"/>
          <c:xMode val="edge"/>
          <c:yMode val="edge"/>
          <c:x val="0.18536408400616547"/>
          <c:y val="0.15426589979081234"/>
          <c:w val="0.67646841301967786"/>
          <c:h val="0.74022232510103514"/>
        </c:manualLayout>
      </c:layout>
      <c:barChart>
        <c:barDir val="bar"/>
        <c:grouping val="stacked"/>
        <c:varyColors val="0"/>
        <c:ser>
          <c:idx val="5"/>
          <c:order val="0"/>
          <c:tx>
            <c:strRef>
              <c:f>'Un Completions'!$O$2</c:f>
              <c:strCache>
                <c:ptCount val="1"/>
                <c:pt idx="0">
                  <c:v>Actual</c:v>
                </c:pt>
              </c:strCache>
            </c:strRef>
          </c:tx>
          <c:spPr>
            <a:solidFill>
              <a:srgbClr val="AAB300"/>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'Un Completions'!$A$3:$A$17</c:f>
              <c:strCache>
                <c:ptCount val="15"/>
                <c:pt idx="0">
                  <c:v>YBB (Goal: 36)</c:v>
                </c:pt>
                <c:pt idx="1">
                  <c:v>UMA (Goal: 71)</c:v>
                </c:pt>
                <c:pt idx="2">
                  <c:v>SSCAC (Goal: 30)</c:v>
                </c:pt>
                <c:pt idx="3">
                  <c:v>SMOC (Goal: 32)</c:v>
                </c:pt>
                <c:pt idx="4">
                  <c:v>NSWIB (Goal: 60)</c:v>
                </c:pt>
                <c:pt idx="5">
                  <c:v>NCWIB (Goal: 56)</c:v>
                </c:pt>
                <c:pt idx="6">
                  <c:v>NBEDC (Goal: 38)</c:v>
                </c:pt>
                <c:pt idx="7">
                  <c:v>HREB (Goal: 54)</c:v>
                </c:pt>
                <c:pt idx="8">
                  <c:v>FHREB (Goal: 37)</c:v>
                </c:pt>
                <c:pt idx="9">
                  <c:v>CWS (Goal: 72)</c:v>
                </c:pt>
                <c:pt idx="10">
                  <c:v>Cape (Goal: 42)</c:v>
                </c:pt>
                <c:pt idx="11">
                  <c:v>BWIB (Goal: 45)</c:v>
                </c:pt>
                <c:pt idx="12">
                  <c:v>BREB (Goal: 64)</c:v>
                </c:pt>
                <c:pt idx="13">
                  <c:v>BHA (Goal: 96)</c:v>
                </c:pt>
                <c:pt idx="14">
                  <c:v>ABCD (Goal: 32)</c:v>
                </c:pt>
              </c:strCache>
            </c:strRef>
          </c:cat>
          <c:val>
            <c:numRef>
              <c:f>'Un Completions'!$O$3:$O$17</c:f>
              <c:numCache>
                <c:formatCode>General</c:formatCode>
                <c:ptCount val="15"/>
                <c:pt idx="0">
                  <c:v>40</c:v>
                </c:pt>
                <c:pt idx="1">
                  <c:v>74</c:v>
                </c:pt>
                <c:pt idx="2">
                  <c:v>29</c:v>
                </c:pt>
                <c:pt idx="3">
                  <c:v>34</c:v>
                </c:pt>
                <c:pt idx="4">
                  <c:v>64</c:v>
                </c:pt>
                <c:pt idx="5">
                  <c:v>59</c:v>
                </c:pt>
                <c:pt idx="6">
                  <c:v>35</c:v>
                </c:pt>
                <c:pt idx="7">
                  <c:v>55</c:v>
                </c:pt>
                <c:pt idx="8">
                  <c:v>47</c:v>
                </c:pt>
                <c:pt idx="9">
                  <c:v>79</c:v>
                </c:pt>
                <c:pt idx="10">
                  <c:v>38</c:v>
                </c:pt>
                <c:pt idx="11">
                  <c:v>46</c:v>
                </c:pt>
                <c:pt idx="12">
                  <c:v>64</c:v>
                </c:pt>
                <c:pt idx="13">
                  <c:v>128</c:v>
                </c:pt>
                <c:pt idx="14">
                  <c:v>25</c:v>
                </c:pt>
              </c:numCache>
            </c:numRef>
          </c:val>
        </c:ser>
        <c:ser>
          <c:idx val="6"/>
          <c:order val="1"/>
          <c:tx>
            <c:strRef>
              <c:f>'Un Completions'!$P$2</c:f>
              <c:strCache>
                <c:ptCount val="1"/>
                <c:pt idx="0">
                  <c:v>Balance of Quarterly Goal</c:v>
                </c:pt>
              </c:strCache>
            </c:strRef>
          </c:tx>
          <c:spPr>
            <a:solidFill>
              <a:srgbClr val="0079C1"/>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'Un Completions'!$A$3:$A$17</c:f>
              <c:strCache>
                <c:ptCount val="15"/>
                <c:pt idx="0">
                  <c:v>YBB (Goal: 36)</c:v>
                </c:pt>
                <c:pt idx="1">
                  <c:v>UMA (Goal: 71)</c:v>
                </c:pt>
                <c:pt idx="2">
                  <c:v>SSCAC (Goal: 30)</c:v>
                </c:pt>
                <c:pt idx="3">
                  <c:v>SMOC (Goal: 32)</c:v>
                </c:pt>
                <c:pt idx="4">
                  <c:v>NSWIB (Goal: 60)</c:v>
                </c:pt>
                <c:pt idx="5">
                  <c:v>NCWIB (Goal: 56)</c:v>
                </c:pt>
                <c:pt idx="6">
                  <c:v>NBEDC (Goal: 38)</c:v>
                </c:pt>
                <c:pt idx="7">
                  <c:v>HREB (Goal: 54)</c:v>
                </c:pt>
                <c:pt idx="8">
                  <c:v>FHREB (Goal: 37)</c:v>
                </c:pt>
                <c:pt idx="9">
                  <c:v>CWS (Goal: 72)</c:v>
                </c:pt>
                <c:pt idx="10">
                  <c:v>Cape (Goal: 42)</c:v>
                </c:pt>
                <c:pt idx="11">
                  <c:v>BWIB (Goal: 45)</c:v>
                </c:pt>
                <c:pt idx="12">
                  <c:v>BREB (Goal: 64)</c:v>
                </c:pt>
                <c:pt idx="13">
                  <c:v>BHA (Goal: 96)</c:v>
                </c:pt>
                <c:pt idx="14">
                  <c:v>ABCD (Goal: 32)</c:v>
                </c:pt>
              </c:strCache>
            </c:strRef>
          </c:cat>
          <c:val>
            <c:numRef>
              <c:f>'Un Completions'!$P$3:$P$17</c:f>
              <c:numCache>
                <c:formatCode>General</c:formatCode>
                <c:ptCount val="15"/>
                <c:pt idx="0">
                  <c:v>-4</c:v>
                </c:pt>
                <c:pt idx="1">
                  <c:v>-3</c:v>
                </c:pt>
                <c:pt idx="2">
                  <c:v>1</c:v>
                </c:pt>
                <c:pt idx="3">
                  <c:v>-2</c:v>
                </c:pt>
                <c:pt idx="4">
                  <c:v>-4</c:v>
                </c:pt>
                <c:pt idx="5">
                  <c:v>-3</c:v>
                </c:pt>
                <c:pt idx="6">
                  <c:v>3</c:v>
                </c:pt>
                <c:pt idx="7">
                  <c:v>-1</c:v>
                </c:pt>
                <c:pt idx="8">
                  <c:v>-10</c:v>
                </c:pt>
                <c:pt idx="9">
                  <c:v>-7</c:v>
                </c:pt>
                <c:pt idx="10">
                  <c:v>4</c:v>
                </c:pt>
                <c:pt idx="11">
                  <c:v>-1</c:v>
                </c:pt>
                <c:pt idx="12">
                  <c:v>0</c:v>
                </c:pt>
                <c:pt idx="13">
                  <c:v>-19</c:v>
                </c:pt>
                <c:pt idx="14">
                  <c:v>7</c:v>
                </c:pt>
              </c:numCache>
            </c:numRef>
          </c:val>
        </c:ser>
        <c:ser>
          <c:idx val="7"/>
          <c:order val="2"/>
          <c:tx>
            <c:strRef>
              <c:f>'Un Completions'!$Q$2</c:f>
              <c:strCache>
                <c:ptCount val="1"/>
                <c:pt idx="0">
                  <c:v>Percent of Quarterly Goal</c:v>
                </c:pt>
              </c:strCache>
            </c:strRef>
          </c:tx>
          <c:spPr>
            <a:noFill/>
          </c:spPr>
          <c:invertIfNegative val="0"/>
          <c:dLbls>
            <c:spPr>
              <a:noFill/>
              <a:ln w="25400">
                <a:noFill/>
              </a:ln>
            </c:spPr>
            <c:txPr>
              <a:bodyPr wrap="square" lIns="38100" tIns="19050" rIns="38100" bIns="19050" anchor="ctr">
                <a:spAutoFit/>
              </a:bodyPr>
              <a:lstStyle/>
              <a:p>
                <a:pPr>
                  <a:defRPr sz="1000" b="0" i="0" u="none" strike="noStrike" baseline="0">
                    <a:solidFill>
                      <a:srgbClr val="FF0000"/>
                    </a:solidFill>
                    <a:latin typeface="Calibri"/>
                    <a:ea typeface="Calibri"/>
                    <a:cs typeface="Calibri"/>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'Un Completions'!$Q$3:$Q$17</c:f>
              <c:numCache>
                <c:formatCode>0%</c:formatCode>
                <c:ptCount val="15"/>
                <c:pt idx="0">
                  <c:v>1.1111111111111112</c:v>
                </c:pt>
                <c:pt idx="1">
                  <c:v>1.0422535211267605</c:v>
                </c:pt>
                <c:pt idx="2">
                  <c:v>0.96666666666666667</c:v>
                </c:pt>
                <c:pt idx="3">
                  <c:v>1.0625</c:v>
                </c:pt>
                <c:pt idx="4">
                  <c:v>1.0666666666666667</c:v>
                </c:pt>
                <c:pt idx="5">
                  <c:v>1.0535714285714286</c:v>
                </c:pt>
                <c:pt idx="6">
                  <c:v>0.92105263157894735</c:v>
                </c:pt>
                <c:pt idx="7">
                  <c:v>1.0185185185185186</c:v>
                </c:pt>
                <c:pt idx="8">
                  <c:v>1.2702702702702702</c:v>
                </c:pt>
                <c:pt idx="9">
                  <c:v>1.0972222222222223</c:v>
                </c:pt>
                <c:pt idx="10">
                  <c:v>0.90476190476190477</c:v>
                </c:pt>
                <c:pt idx="11">
                  <c:v>1.0222222222222221</c:v>
                </c:pt>
                <c:pt idx="12">
                  <c:v>1</c:v>
                </c:pt>
                <c:pt idx="13">
                  <c:v>1.1743119266055047</c:v>
                </c:pt>
                <c:pt idx="14">
                  <c:v>0.78125</c:v>
                </c:pt>
              </c:numCache>
            </c:numRef>
          </c:val>
        </c:ser>
        <c:dLbls>
          <c:showLegendKey val="0"/>
          <c:showVal val="0"/>
          <c:showCatName val="0"/>
          <c:showSerName val="0"/>
          <c:showPercent val="0"/>
          <c:showBubbleSize val="0"/>
        </c:dLbls>
        <c:gapWidth val="150"/>
        <c:overlap val="100"/>
        <c:axId val="618498544"/>
        <c:axId val="618501808"/>
      </c:barChart>
      <c:catAx>
        <c:axId val="61849854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18501808"/>
        <c:crosses val="autoZero"/>
        <c:auto val="1"/>
        <c:lblAlgn val="ctr"/>
        <c:lblOffset val="100"/>
        <c:noMultiLvlLbl val="0"/>
      </c:catAx>
      <c:valAx>
        <c:axId val="618501808"/>
        <c:scaling>
          <c:orientation val="minMax"/>
          <c:max val="140"/>
          <c:min val="0"/>
        </c:scaling>
        <c:delete val="0"/>
        <c:axPos val="b"/>
        <c:majorGridlines/>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618498544"/>
        <c:crosses val="autoZero"/>
        <c:crossBetween val="between"/>
      </c:valAx>
    </c:plotArea>
    <c:legend>
      <c:legendPos val="b"/>
      <c:legendEntry>
        <c:idx val="2"/>
        <c:txPr>
          <a:bodyPr/>
          <a:lstStyle/>
          <a:p>
            <a:pPr>
              <a:defRPr sz="650" b="0" i="0" u="none" strike="noStrike" baseline="0">
                <a:solidFill>
                  <a:srgbClr val="C00000"/>
                </a:solidFill>
                <a:latin typeface="Calibri"/>
                <a:ea typeface="Calibri"/>
                <a:cs typeface="Calibri"/>
              </a:defRPr>
            </a:pPr>
            <a:endParaRPr lang="en-US"/>
          </a:p>
        </c:txPr>
      </c:legendEntry>
      <c:layout/>
      <c:overlay val="0"/>
      <c:txPr>
        <a:bodyPr/>
        <a:lstStyle/>
        <a:p>
          <a:pPr>
            <a:defRPr sz="6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800" b="1" i="0" u="none" strike="noStrike" baseline="0">
                <a:solidFill>
                  <a:srgbClr val="000000"/>
                </a:solidFill>
                <a:latin typeface="Calibri"/>
              </a:rPr>
              <a:t>Retention Post-Placement</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Eligible = Placements through December 2015</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79% Retention Rate To Date</a:t>
            </a:r>
          </a:p>
        </c:rich>
      </c:tx>
      <c:layout/>
      <c:overlay val="0"/>
    </c:title>
    <c:autoTitleDeleted val="0"/>
    <c:plotArea>
      <c:layout/>
      <c:barChart>
        <c:barDir val="bar"/>
        <c:grouping val="stacked"/>
        <c:varyColors val="0"/>
        <c:ser>
          <c:idx val="1"/>
          <c:order val="0"/>
          <c:tx>
            <c:strRef>
              <c:f>'Retention Elig'!$N$2</c:f>
              <c:strCache>
                <c:ptCount val="1"/>
                <c:pt idx="0">
                  <c:v>Retained</c:v>
                </c:pt>
              </c:strCache>
            </c:strRef>
          </c:tx>
          <c:spPr>
            <a:solidFill>
              <a:srgbClr val="AAB300"/>
            </a:solidFill>
          </c:spPr>
          <c:invertIfNegative val="0"/>
          <c:dLbls>
            <c:dLbl>
              <c:idx val="13"/>
              <c:delete val="1"/>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'Retention Elig'!$A$3:$A$17</c:f>
              <c:strCache>
                <c:ptCount val="15"/>
                <c:pt idx="0">
                  <c:v>ABCD (Eligible: 20)</c:v>
                </c:pt>
                <c:pt idx="1">
                  <c:v>BHA (Eligible: 44)</c:v>
                </c:pt>
                <c:pt idx="2">
                  <c:v>BREB (Eligible: 43)</c:v>
                </c:pt>
                <c:pt idx="3">
                  <c:v>BWIB (Eligible: 23)</c:v>
                </c:pt>
                <c:pt idx="4">
                  <c:v>Cape (Eligible: 20)</c:v>
                </c:pt>
                <c:pt idx="5">
                  <c:v>CWS  (Eligible: 62)</c:v>
                </c:pt>
                <c:pt idx="6">
                  <c:v>FHREB (Eligible: 32)</c:v>
                </c:pt>
                <c:pt idx="7">
                  <c:v>HREB (Eligible: 45)</c:v>
                </c:pt>
                <c:pt idx="8">
                  <c:v>NBEDC (Eligible: 19)</c:v>
                </c:pt>
                <c:pt idx="9">
                  <c:v>NCWIB (Eligble: 53)</c:v>
                </c:pt>
                <c:pt idx="10">
                  <c:v>NSWIB (Eligible: 39)</c:v>
                </c:pt>
                <c:pt idx="11">
                  <c:v>SMOC (Eligible: 28)</c:v>
                </c:pt>
                <c:pt idx="12">
                  <c:v>SSCAC (Eligible: 28)</c:v>
                </c:pt>
                <c:pt idx="13">
                  <c:v>UMA (Eligible: 33)</c:v>
                </c:pt>
                <c:pt idx="14">
                  <c:v>YBB (Eligible: 28)</c:v>
                </c:pt>
              </c:strCache>
            </c:strRef>
          </c:cat>
          <c:val>
            <c:numRef>
              <c:f>'Retention Elig'!$N$3:$N$17</c:f>
              <c:numCache>
                <c:formatCode>General</c:formatCode>
                <c:ptCount val="15"/>
                <c:pt idx="0">
                  <c:v>19</c:v>
                </c:pt>
                <c:pt idx="1">
                  <c:v>54</c:v>
                </c:pt>
                <c:pt idx="2">
                  <c:v>37</c:v>
                </c:pt>
                <c:pt idx="3">
                  <c:v>34</c:v>
                </c:pt>
                <c:pt idx="4">
                  <c:v>22</c:v>
                </c:pt>
                <c:pt idx="5">
                  <c:v>52</c:v>
                </c:pt>
                <c:pt idx="6">
                  <c:v>34</c:v>
                </c:pt>
                <c:pt idx="7">
                  <c:v>31</c:v>
                </c:pt>
                <c:pt idx="8">
                  <c:v>13</c:v>
                </c:pt>
                <c:pt idx="9">
                  <c:v>47</c:v>
                </c:pt>
                <c:pt idx="10">
                  <c:v>50</c:v>
                </c:pt>
                <c:pt idx="11">
                  <c:v>28</c:v>
                </c:pt>
                <c:pt idx="12">
                  <c:v>23</c:v>
                </c:pt>
                <c:pt idx="13">
                  <c:v>27</c:v>
                </c:pt>
                <c:pt idx="14">
                  <c:v>24</c:v>
                </c:pt>
              </c:numCache>
            </c:numRef>
          </c:val>
        </c:ser>
        <c:ser>
          <c:idx val="2"/>
          <c:order val="1"/>
          <c:tx>
            <c:strRef>
              <c:f>'Retention Elig'!$O$2</c:f>
              <c:strCache>
                <c:ptCount val="1"/>
                <c:pt idx="0">
                  <c:v>Not Retained or No Information</c:v>
                </c:pt>
              </c:strCache>
            </c:strRef>
          </c:tx>
          <c:spPr>
            <a:solidFill>
              <a:srgbClr val="0079C1"/>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'Retention Elig'!$A$3:$A$17</c:f>
              <c:strCache>
                <c:ptCount val="15"/>
                <c:pt idx="0">
                  <c:v>ABCD (Eligible: 20)</c:v>
                </c:pt>
                <c:pt idx="1">
                  <c:v>BHA (Eligible: 44)</c:v>
                </c:pt>
                <c:pt idx="2">
                  <c:v>BREB (Eligible: 43)</c:v>
                </c:pt>
                <c:pt idx="3">
                  <c:v>BWIB (Eligible: 23)</c:v>
                </c:pt>
                <c:pt idx="4">
                  <c:v>Cape (Eligible: 20)</c:v>
                </c:pt>
                <c:pt idx="5">
                  <c:v>CWS  (Eligible: 62)</c:v>
                </c:pt>
                <c:pt idx="6">
                  <c:v>FHREB (Eligible: 32)</c:v>
                </c:pt>
                <c:pt idx="7">
                  <c:v>HREB (Eligible: 45)</c:v>
                </c:pt>
                <c:pt idx="8">
                  <c:v>NBEDC (Eligible: 19)</c:v>
                </c:pt>
                <c:pt idx="9">
                  <c:v>NCWIB (Eligble: 53)</c:v>
                </c:pt>
                <c:pt idx="10">
                  <c:v>NSWIB (Eligible: 39)</c:v>
                </c:pt>
                <c:pt idx="11">
                  <c:v>SMOC (Eligible: 28)</c:v>
                </c:pt>
                <c:pt idx="12">
                  <c:v>SSCAC (Eligible: 28)</c:v>
                </c:pt>
                <c:pt idx="13">
                  <c:v>UMA (Eligible: 33)</c:v>
                </c:pt>
                <c:pt idx="14">
                  <c:v>YBB (Eligible: 28)</c:v>
                </c:pt>
              </c:strCache>
            </c:strRef>
          </c:cat>
          <c:val>
            <c:numRef>
              <c:f>'Retention Elig'!$O$3:$O$17</c:f>
              <c:numCache>
                <c:formatCode>General</c:formatCode>
                <c:ptCount val="15"/>
                <c:pt idx="0">
                  <c:v>4</c:v>
                </c:pt>
                <c:pt idx="1">
                  <c:v>10</c:v>
                </c:pt>
                <c:pt idx="2">
                  <c:v>14</c:v>
                </c:pt>
                <c:pt idx="3">
                  <c:v>5</c:v>
                </c:pt>
                <c:pt idx="4">
                  <c:v>6</c:v>
                </c:pt>
                <c:pt idx="5">
                  <c:v>11</c:v>
                </c:pt>
                <c:pt idx="6">
                  <c:v>7</c:v>
                </c:pt>
                <c:pt idx="7">
                  <c:v>14</c:v>
                </c:pt>
                <c:pt idx="8">
                  <c:v>10</c:v>
                </c:pt>
                <c:pt idx="9">
                  <c:v>8</c:v>
                </c:pt>
                <c:pt idx="10">
                  <c:v>6</c:v>
                </c:pt>
                <c:pt idx="11">
                  <c:v>2</c:v>
                </c:pt>
                <c:pt idx="12">
                  <c:v>6</c:v>
                </c:pt>
                <c:pt idx="13">
                  <c:v>22</c:v>
                </c:pt>
                <c:pt idx="14">
                  <c:v>4</c:v>
                </c:pt>
              </c:numCache>
            </c:numRef>
          </c:val>
        </c:ser>
        <c:ser>
          <c:idx val="3"/>
          <c:order val="2"/>
          <c:tx>
            <c:strRef>
              <c:f>'Retention Elig'!$P$2</c:f>
              <c:strCache>
                <c:ptCount val="1"/>
                <c:pt idx="0">
                  <c:v>Percent Retained of Eligible Placements</c:v>
                </c:pt>
              </c:strCache>
            </c:strRef>
          </c:tx>
          <c:spPr>
            <a:noFill/>
          </c:spPr>
          <c:invertIfNegative val="0"/>
          <c:dLbls>
            <c:dLbl>
              <c:idx val="0"/>
              <c:layout>
                <c:manualLayout>
                  <c:x val="4.1666666666666664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777777777777778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444444444444446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88888888888889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333333333333334E-2"/>
                  <c:y val="1.3888888888888888E-2"/>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666666666666664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444444444444446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666666666666664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2777777777777778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560758082497213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7837235228539496E-2"/>
                  <c:y val="-6.111040515849597E-17"/>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6755852842809364E-2"/>
                  <c:y val="-6.111040515849597E-17"/>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3.5674470457079152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5607580824972048E-2"/>
                  <c:y val="-3.0555202579247985E-17"/>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2.2296544035674472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FF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'Retention Elig'!$A$3:$A$17</c:f>
              <c:strCache>
                <c:ptCount val="15"/>
                <c:pt idx="0">
                  <c:v>ABCD (Eligible: 20)</c:v>
                </c:pt>
                <c:pt idx="1">
                  <c:v>BHA (Eligible: 44)</c:v>
                </c:pt>
                <c:pt idx="2">
                  <c:v>BREB (Eligible: 43)</c:v>
                </c:pt>
                <c:pt idx="3">
                  <c:v>BWIB (Eligible: 23)</c:v>
                </c:pt>
                <c:pt idx="4">
                  <c:v>Cape (Eligible: 20)</c:v>
                </c:pt>
                <c:pt idx="5">
                  <c:v>CWS  (Eligible: 62)</c:v>
                </c:pt>
                <c:pt idx="6">
                  <c:v>FHREB (Eligible: 32)</c:v>
                </c:pt>
                <c:pt idx="7">
                  <c:v>HREB (Eligible: 45)</c:v>
                </c:pt>
                <c:pt idx="8">
                  <c:v>NBEDC (Eligible: 19)</c:v>
                </c:pt>
                <c:pt idx="9">
                  <c:v>NCWIB (Eligble: 53)</c:v>
                </c:pt>
                <c:pt idx="10">
                  <c:v>NSWIB (Eligible: 39)</c:v>
                </c:pt>
                <c:pt idx="11">
                  <c:v>SMOC (Eligible: 28)</c:v>
                </c:pt>
                <c:pt idx="12">
                  <c:v>SSCAC (Eligible: 28)</c:v>
                </c:pt>
                <c:pt idx="13">
                  <c:v>UMA (Eligible: 33)</c:v>
                </c:pt>
                <c:pt idx="14">
                  <c:v>YBB (Eligible: 28)</c:v>
                </c:pt>
              </c:strCache>
            </c:strRef>
          </c:cat>
          <c:val>
            <c:numRef>
              <c:f>'Retention Elig'!$P$3:$P$17</c:f>
              <c:numCache>
                <c:formatCode>0%</c:formatCode>
                <c:ptCount val="15"/>
                <c:pt idx="0">
                  <c:v>0.82608695652173914</c:v>
                </c:pt>
                <c:pt idx="1">
                  <c:v>0.84375</c:v>
                </c:pt>
                <c:pt idx="2">
                  <c:v>0.72549019607843135</c:v>
                </c:pt>
                <c:pt idx="3">
                  <c:v>0.87179487179487181</c:v>
                </c:pt>
                <c:pt idx="4">
                  <c:v>0.7857142857142857</c:v>
                </c:pt>
                <c:pt idx="5">
                  <c:v>0.82539682539682535</c:v>
                </c:pt>
                <c:pt idx="6">
                  <c:v>0.82926829268292679</c:v>
                </c:pt>
                <c:pt idx="7">
                  <c:v>0.68888888888888888</c:v>
                </c:pt>
                <c:pt idx="8">
                  <c:v>0.56521739130434778</c:v>
                </c:pt>
                <c:pt idx="9">
                  <c:v>0.8545454545454545</c:v>
                </c:pt>
                <c:pt idx="10">
                  <c:v>0.8928571428571429</c:v>
                </c:pt>
                <c:pt idx="11">
                  <c:v>0.93333333333333335</c:v>
                </c:pt>
                <c:pt idx="12">
                  <c:v>0.7931034482758621</c:v>
                </c:pt>
                <c:pt idx="13">
                  <c:v>0.55102040816326525</c:v>
                </c:pt>
                <c:pt idx="14">
                  <c:v>0.8571428571428571</c:v>
                </c:pt>
              </c:numCache>
            </c:numRef>
          </c:val>
        </c:ser>
        <c:dLbls>
          <c:showLegendKey val="0"/>
          <c:showVal val="0"/>
          <c:showCatName val="0"/>
          <c:showSerName val="0"/>
          <c:showPercent val="0"/>
          <c:showBubbleSize val="0"/>
        </c:dLbls>
        <c:gapWidth val="150"/>
        <c:overlap val="100"/>
        <c:axId val="443404944"/>
        <c:axId val="443396240"/>
      </c:barChart>
      <c:catAx>
        <c:axId val="443404944"/>
        <c:scaling>
          <c:orientation val="maxMin"/>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43396240"/>
        <c:crosses val="autoZero"/>
        <c:auto val="1"/>
        <c:lblAlgn val="ctr"/>
        <c:lblOffset val="100"/>
        <c:noMultiLvlLbl val="0"/>
      </c:catAx>
      <c:valAx>
        <c:axId val="443396240"/>
        <c:scaling>
          <c:orientation val="minMax"/>
          <c:min val="0"/>
        </c:scaling>
        <c:delete val="0"/>
        <c:axPos val="t"/>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43404944"/>
        <c:crosses val="autoZero"/>
        <c:crossBetween val="between"/>
      </c:valAx>
    </c:plotArea>
    <c:legend>
      <c:legendPos val="b"/>
      <c:legendEntry>
        <c:idx val="2"/>
        <c:txPr>
          <a:bodyPr/>
          <a:lstStyle/>
          <a:p>
            <a:pPr>
              <a:defRPr sz="545" b="0" i="0" u="none" strike="noStrike" baseline="0">
                <a:solidFill>
                  <a:srgbClr val="FF0000"/>
                </a:solidFill>
                <a:latin typeface="Calibri"/>
                <a:ea typeface="Calibri"/>
                <a:cs typeface="Calibri"/>
              </a:defRPr>
            </a:pPr>
            <a:endParaRPr lang="en-US"/>
          </a:p>
        </c:txPr>
      </c:legendEntry>
      <c:layout/>
      <c:overlay val="0"/>
      <c:txPr>
        <a:bodyPr/>
        <a:lstStyle/>
        <a:p>
          <a:pPr>
            <a:defRPr sz="5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800" b="1" i="0" u="none" strike="noStrike" baseline="0">
                <a:solidFill>
                  <a:srgbClr val="000000"/>
                </a:solidFill>
                <a:latin typeface="Calibri"/>
              </a:rPr>
              <a:t>Job Placements</a:t>
            </a:r>
          </a:p>
          <a:p>
            <a:pPr>
              <a:defRPr sz="1000" b="0" i="0" u="none" strike="noStrike" baseline="0">
                <a:solidFill>
                  <a:srgbClr val="000000"/>
                </a:solidFill>
                <a:latin typeface="Calibri"/>
                <a:ea typeface="Calibri"/>
                <a:cs typeface="Calibri"/>
              </a:defRPr>
            </a:pPr>
            <a:r>
              <a:rPr lang="en-US" sz="1200" b="0" i="0" u="none" strike="noStrike" baseline="0">
                <a:solidFill>
                  <a:srgbClr val="000000"/>
                </a:solidFill>
                <a:latin typeface="Calibri"/>
              </a:rPr>
              <a:t>74% Placement Rate to Date (% of Enrollees Placed in Employment)</a:t>
            </a:r>
          </a:p>
          <a:p>
            <a:pPr>
              <a:defRPr sz="1000" b="0" i="0" u="none" strike="noStrike" baseline="0">
                <a:solidFill>
                  <a:srgbClr val="000000"/>
                </a:solidFill>
                <a:latin typeface="Calibri"/>
                <a:ea typeface="Calibri"/>
                <a:cs typeface="Calibri"/>
              </a:defRPr>
            </a:pPr>
            <a:r>
              <a:rPr lang="en-US" sz="1800" b="1" i="0" u="none" strike="noStrike" baseline="0">
                <a:solidFill>
                  <a:srgbClr val="000000"/>
                </a:solidFill>
                <a:latin typeface="Calibri"/>
              </a:rPr>
              <a:t> </a:t>
            </a:r>
          </a:p>
        </c:rich>
      </c:tx>
      <c:layout/>
      <c:overlay val="0"/>
    </c:title>
    <c:autoTitleDeleted val="0"/>
    <c:plotArea>
      <c:layout/>
      <c:barChart>
        <c:barDir val="bar"/>
        <c:grouping val="stacked"/>
        <c:varyColors val="0"/>
        <c:ser>
          <c:idx val="1"/>
          <c:order val="0"/>
          <c:tx>
            <c:strRef>
              <c:f>'New Employment'!$O$2</c:f>
              <c:strCache>
                <c:ptCount val="1"/>
                <c:pt idx="0">
                  <c:v>Actual</c:v>
                </c:pt>
              </c:strCache>
            </c:strRef>
          </c:tx>
          <c:spPr>
            <a:solidFill>
              <a:srgbClr val="AAB300"/>
            </a:solidFill>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'New Employment'!$A$3:$A$17</c:f>
              <c:strCache>
                <c:ptCount val="15"/>
                <c:pt idx="0">
                  <c:v>YBB (Goal: 27)</c:v>
                </c:pt>
                <c:pt idx="1">
                  <c:v>UMA (Goal: 67)</c:v>
                </c:pt>
                <c:pt idx="2">
                  <c:v>SSCAC (Goal: 28)</c:v>
                </c:pt>
                <c:pt idx="3">
                  <c:v>SMOC (Goal: 30)</c:v>
                </c:pt>
                <c:pt idx="4">
                  <c:v>NSWIB (Goal: 53)</c:v>
                </c:pt>
                <c:pt idx="5">
                  <c:v>NCWIB (Goal: 54)</c:v>
                </c:pt>
                <c:pt idx="6">
                  <c:v>NBEDC (Goal: 36)</c:v>
                </c:pt>
                <c:pt idx="7">
                  <c:v>HREB (Goal: 50)</c:v>
                </c:pt>
                <c:pt idx="8">
                  <c:v>FHREB (Goal: 32)</c:v>
                </c:pt>
                <c:pt idx="9">
                  <c:v>CWS  (Goal: 61)</c:v>
                </c:pt>
                <c:pt idx="10">
                  <c:v>Cape (Goal: 36)</c:v>
                </c:pt>
                <c:pt idx="11">
                  <c:v>BWIB (Goal: 39)</c:v>
                </c:pt>
                <c:pt idx="12">
                  <c:v>BREB (Goal: 51)</c:v>
                </c:pt>
                <c:pt idx="13">
                  <c:v>BHA (Goal: 93)</c:v>
                </c:pt>
                <c:pt idx="14">
                  <c:v>ABCD (Goal: 27)</c:v>
                </c:pt>
              </c:strCache>
            </c:strRef>
          </c:cat>
          <c:val>
            <c:numRef>
              <c:f>'New Employment'!$O$3:$O$17</c:f>
              <c:numCache>
                <c:formatCode>General</c:formatCode>
                <c:ptCount val="15"/>
                <c:pt idx="0">
                  <c:v>28</c:v>
                </c:pt>
                <c:pt idx="1">
                  <c:v>65</c:v>
                </c:pt>
                <c:pt idx="2">
                  <c:v>29</c:v>
                </c:pt>
                <c:pt idx="3">
                  <c:v>30</c:v>
                </c:pt>
                <c:pt idx="4">
                  <c:v>56</c:v>
                </c:pt>
                <c:pt idx="5">
                  <c:v>55</c:v>
                </c:pt>
                <c:pt idx="6">
                  <c:v>23</c:v>
                </c:pt>
                <c:pt idx="7">
                  <c:v>47</c:v>
                </c:pt>
                <c:pt idx="8">
                  <c:v>41</c:v>
                </c:pt>
                <c:pt idx="9">
                  <c:v>63</c:v>
                </c:pt>
                <c:pt idx="10">
                  <c:v>33</c:v>
                </c:pt>
                <c:pt idx="11">
                  <c:v>39</c:v>
                </c:pt>
                <c:pt idx="12">
                  <c:v>52</c:v>
                </c:pt>
                <c:pt idx="13">
                  <c:v>86</c:v>
                </c:pt>
                <c:pt idx="14">
                  <c:v>23</c:v>
                </c:pt>
              </c:numCache>
            </c:numRef>
          </c:val>
        </c:ser>
        <c:ser>
          <c:idx val="2"/>
          <c:order val="1"/>
          <c:tx>
            <c:strRef>
              <c:f>'New Employment'!$P$2</c:f>
              <c:strCache>
                <c:ptCount val="1"/>
                <c:pt idx="0">
                  <c:v>Balance of Quarterly Goal</c:v>
                </c:pt>
              </c:strCache>
            </c:strRef>
          </c:tx>
          <c:spPr>
            <a:solidFill>
              <a:srgbClr val="0079C1"/>
            </a:solidFill>
          </c:spPr>
          <c:invertIfNegative val="0"/>
          <c:dLbls>
            <c:dLbl>
              <c:idx val="3"/>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'New Employment'!$A$3:$A$17</c:f>
              <c:strCache>
                <c:ptCount val="15"/>
                <c:pt idx="0">
                  <c:v>YBB (Goal: 27)</c:v>
                </c:pt>
                <c:pt idx="1">
                  <c:v>UMA (Goal: 67)</c:v>
                </c:pt>
                <c:pt idx="2">
                  <c:v>SSCAC (Goal: 28)</c:v>
                </c:pt>
                <c:pt idx="3">
                  <c:v>SMOC (Goal: 30)</c:v>
                </c:pt>
                <c:pt idx="4">
                  <c:v>NSWIB (Goal: 53)</c:v>
                </c:pt>
                <c:pt idx="5">
                  <c:v>NCWIB (Goal: 54)</c:v>
                </c:pt>
                <c:pt idx="6">
                  <c:v>NBEDC (Goal: 36)</c:v>
                </c:pt>
                <c:pt idx="7">
                  <c:v>HREB (Goal: 50)</c:v>
                </c:pt>
                <c:pt idx="8">
                  <c:v>FHREB (Goal: 32)</c:v>
                </c:pt>
                <c:pt idx="9">
                  <c:v>CWS  (Goal: 61)</c:v>
                </c:pt>
                <c:pt idx="10">
                  <c:v>Cape (Goal: 36)</c:v>
                </c:pt>
                <c:pt idx="11">
                  <c:v>BWIB (Goal: 39)</c:v>
                </c:pt>
                <c:pt idx="12">
                  <c:v>BREB (Goal: 51)</c:v>
                </c:pt>
                <c:pt idx="13">
                  <c:v>BHA (Goal: 93)</c:v>
                </c:pt>
                <c:pt idx="14">
                  <c:v>ABCD (Goal: 27)</c:v>
                </c:pt>
              </c:strCache>
            </c:strRef>
          </c:cat>
          <c:val>
            <c:numRef>
              <c:f>'New Employment'!$P$3:$P$17</c:f>
              <c:numCache>
                <c:formatCode>0</c:formatCode>
                <c:ptCount val="15"/>
                <c:pt idx="0">
                  <c:v>-1</c:v>
                </c:pt>
                <c:pt idx="1">
                  <c:v>2</c:v>
                </c:pt>
                <c:pt idx="2">
                  <c:v>-1</c:v>
                </c:pt>
                <c:pt idx="3">
                  <c:v>0</c:v>
                </c:pt>
                <c:pt idx="4">
                  <c:v>-3</c:v>
                </c:pt>
                <c:pt idx="5">
                  <c:v>-1</c:v>
                </c:pt>
                <c:pt idx="6">
                  <c:v>13</c:v>
                </c:pt>
                <c:pt idx="7">
                  <c:v>3</c:v>
                </c:pt>
                <c:pt idx="8">
                  <c:v>-9</c:v>
                </c:pt>
                <c:pt idx="9">
                  <c:v>-2</c:v>
                </c:pt>
                <c:pt idx="10">
                  <c:v>3</c:v>
                </c:pt>
                <c:pt idx="11">
                  <c:v>0</c:v>
                </c:pt>
                <c:pt idx="12">
                  <c:v>-1</c:v>
                </c:pt>
                <c:pt idx="13">
                  <c:v>7</c:v>
                </c:pt>
                <c:pt idx="14">
                  <c:v>4</c:v>
                </c:pt>
              </c:numCache>
            </c:numRef>
          </c:val>
        </c:ser>
        <c:ser>
          <c:idx val="3"/>
          <c:order val="2"/>
          <c:tx>
            <c:strRef>
              <c:f>'New Employment'!$Q$2</c:f>
              <c:strCache>
                <c:ptCount val="1"/>
                <c:pt idx="0">
                  <c:v>Percent of Quarterly Goal</c:v>
                </c:pt>
              </c:strCache>
            </c:strRef>
          </c:tx>
          <c:spPr>
            <a:noFill/>
          </c:spPr>
          <c:invertIfNegative val="0"/>
          <c:dLbls>
            <c:dLbl>
              <c:idx val="0"/>
              <c:layout>
                <c:manualLayout>
                  <c:x val="4.1666666666666664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777777777777778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444444444444446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88888888888889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333333333333334E-2"/>
                  <c:y val="1.3888888888888888E-2"/>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666666666666664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4444444444444446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1666666666666664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2777777777777778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976639712488756E-2"/>
                  <c:y val="-3.350083752093864E-3"/>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9766397124887692E-2"/>
                  <c:y val="-6.1417492621603984E-17"/>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8751123090745734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2.15633423180593E-2"/>
                  <c:y val="0"/>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2.0434227330778931E-2"/>
                  <c:y val="0"/>
                </c:manualLayout>
              </c:layout>
              <c:spPr>
                <a:noFill/>
                <a:ln w="25400">
                  <a:noFill/>
                </a:ln>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1.9766397124887692E-2"/>
                  <c:y val="-3.0708746310801992E-17"/>
                </c:manualLayout>
              </c:layout>
              <c:spPr/>
              <c:txPr>
                <a:bodyPr/>
                <a:lstStyle/>
                <a:p>
                  <a:pPr>
                    <a:defRPr sz="1000" b="0" i="0" u="none" strike="noStrike" baseline="0">
                      <a:solidFill>
                        <a:srgbClr val="FF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000" b="0" i="0" u="none" strike="noStrike" baseline="0">
                    <a:solidFill>
                      <a:srgbClr val="FF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'New Employment'!$A$3:$A$17</c:f>
              <c:strCache>
                <c:ptCount val="15"/>
                <c:pt idx="0">
                  <c:v>YBB (Goal: 27)</c:v>
                </c:pt>
                <c:pt idx="1">
                  <c:v>UMA (Goal: 67)</c:v>
                </c:pt>
                <c:pt idx="2">
                  <c:v>SSCAC (Goal: 28)</c:v>
                </c:pt>
                <c:pt idx="3">
                  <c:v>SMOC (Goal: 30)</c:v>
                </c:pt>
                <c:pt idx="4">
                  <c:v>NSWIB (Goal: 53)</c:v>
                </c:pt>
                <c:pt idx="5">
                  <c:v>NCWIB (Goal: 54)</c:v>
                </c:pt>
                <c:pt idx="6">
                  <c:v>NBEDC (Goal: 36)</c:v>
                </c:pt>
                <c:pt idx="7">
                  <c:v>HREB (Goal: 50)</c:v>
                </c:pt>
                <c:pt idx="8">
                  <c:v>FHREB (Goal: 32)</c:v>
                </c:pt>
                <c:pt idx="9">
                  <c:v>CWS  (Goal: 61)</c:v>
                </c:pt>
                <c:pt idx="10">
                  <c:v>Cape (Goal: 36)</c:v>
                </c:pt>
                <c:pt idx="11">
                  <c:v>BWIB (Goal: 39)</c:v>
                </c:pt>
                <c:pt idx="12">
                  <c:v>BREB (Goal: 51)</c:v>
                </c:pt>
                <c:pt idx="13">
                  <c:v>BHA (Goal: 93)</c:v>
                </c:pt>
                <c:pt idx="14">
                  <c:v>ABCD (Goal: 27)</c:v>
                </c:pt>
              </c:strCache>
            </c:strRef>
          </c:cat>
          <c:val>
            <c:numRef>
              <c:f>'New Employment'!$Q$3:$Q$17</c:f>
              <c:numCache>
                <c:formatCode>0%</c:formatCode>
                <c:ptCount val="15"/>
                <c:pt idx="0">
                  <c:v>1.037037037037037</c:v>
                </c:pt>
                <c:pt idx="1">
                  <c:v>0.97014925373134331</c:v>
                </c:pt>
                <c:pt idx="2">
                  <c:v>1.0357142857142858</c:v>
                </c:pt>
                <c:pt idx="3">
                  <c:v>1</c:v>
                </c:pt>
                <c:pt idx="4">
                  <c:v>1.0566037735849056</c:v>
                </c:pt>
                <c:pt idx="5">
                  <c:v>1.0185185185185186</c:v>
                </c:pt>
                <c:pt idx="6">
                  <c:v>0.63888888888888884</c:v>
                </c:pt>
                <c:pt idx="7">
                  <c:v>0.94</c:v>
                </c:pt>
                <c:pt idx="8">
                  <c:v>1.28125</c:v>
                </c:pt>
                <c:pt idx="9">
                  <c:v>1.0327868852459017</c:v>
                </c:pt>
                <c:pt idx="10">
                  <c:v>0.91666666666666663</c:v>
                </c:pt>
                <c:pt idx="11">
                  <c:v>1</c:v>
                </c:pt>
                <c:pt idx="12">
                  <c:v>1.0196078431372548</c:v>
                </c:pt>
                <c:pt idx="13">
                  <c:v>0.92473118279569888</c:v>
                </c:pt>
                <c:pt idx="14">
                  <c:v>0.85185185185185186</c:v>
                </c:pt>
              </c:numCache>
            </c:numRef>
          </c:val>
        </c:ser>
        <c:dLbls>
          <c:showLegendKey val="0"/>
          <c:showVal val="0"/>
          <c:showCatName val="0"/>
          <c:showSerName val="0"/>
          <c:showPercent val="0"/>
          <c:showBubbleSize val="0"/>
        </c:dLbls>
        <c:gapWidth val="150"/>
        <c:overlap val="100"/>
        <c:axId val="349190960"/>
        <c:axId val="349194768"/>
      </c:barChart>
      <c:catAx>
        <c:axId val="34919096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9194768"/>
        <c:crosses val="autoZero"/>
        <c:auto val="1"/>
        <c:lblAlgn val="ctr"/>
        <c:lblOffset val="100"/>
        <c:noMultiLvlLbl val="0"/>
      </c:catAx>
      <c:valAx>
        <c:axId val="349194768"/>
        <c:scaling>
          <c:orientation val="minMax"/>
          <c:max val="100"/>
          <c:min val="0"/>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9190960"/>
        <c:crosses val="autoZero"/>
        <c:crossBetween val="between"/>
      </c:valAx>
    </c:plotArea>
    <c:legend>
      <c:legendPos val="b"/>
      <c:legendEntry>
        <c:idx val="2"/>
        <c:txPr>
          <a:bodyPr/>
          <a:lstStyle/>
          <a:p>
            <a:pPr>
              <a:defRPr sz="545" b="0" i="0" u="none" strike="noStrike" baseline="0">
                <a:solidFill>
                  <a:srgbClr val="FF0000"/>
                </a:solidFill>
                <a:latin typeface="Calibri"/>
                <a:ea typeface="Calibri"/>
                <a:cs typeface="Calibri"/>
              </a:defRPr>
            </a:pPr>
            <a:endParaRPr lang="en-US"/>
          </a:p>
        </c:txPr>
      </c:legendEntry>
      <c:layout/>
      <c:overlay val="0"/>
      <c:txPr>
        <a:bodyPr/>
        <a:lstStyle/>
        <a:p>
          <a:pPr>
            <a:defRPr sz="5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en-US"/>
              <a:t>Status of Unemployed Participants</a:t>
            </a:r>
          </a:p>
          <a:p>
            <a:pPr>
              <a:defRPr sz="1800" b="1" i="0" u="none" strike="noStrike" baseline="0">
                <a:solidFill>
                  <a:srgbClr val="000000"/>
                </a:solidFill>
                <a:latin typeface="Calibri"/>
                <a:ea typeface="Calibri"/>
                <a:cs typeface="Calibri"/>
              </a:defRPr>
            </a:pPr>
            <a:r>
              <a:rPr lang="en-US" sz="1100"/>
              <a:t>Placement Rate (% of Enrollees Placed in Employment) Initiative Goal: 80%</a:t>
            </a:r>
          </a:p>
          <a:p>
            <a:pPr>
              <a:defRPr sz="1800" b="1" i="0" u="none" strike="noStrike" baseline="0">
                <a:solidFill>
                  <a:srgbClr val="000000"/>
                </a:solidFill>
                <a:latin typeface="Calibri"/>
                <a:ea typeface="Calibri"/>
                <a:cs typeface="Calibri"/>
              </a:defRPr>
            </a:pPr>
            <a:r>
              <a:rPr lang="en-US" sz="1100"/>
              <a:t>PPR</a:t>
            </a:r>
            <a:r>
              <a:rPr lang="en-US" sz="1100" baseline="0"/>
              <a:t> = Grantee's Proposed Placement Rate</a:t>
            </a:r>
          </a:p>
          <a:p>
            <a:pPr>
              <a:defRPr sz="1800" b="1" i="0" u="none" strike="noStrike" baseline="0">
                <a:solidFill>
                  <a:srgbClr val="000000"/>
                </a:solidFill>
                <a:latin typeface="Calibri"/>
                <a:ea typeface="Calibri"/>
                <a:cs typeface="Calibri"/>
              </a:defRPr>
            </a:pPr>
            <a:endParaRPr lang="en-US" sz="1100"/>
          </a:p>
        </c:rich>
      </c:tx>
      <c:layout>
        <c:manualLayout>
          <c:xMode val="edge"/>
          <c:yMode val="edge"/>
          <c:x val="0.25523140857392829"/>
          <c:y val="0"/>
        </c:manualLayout>
      </c:layout>
      <c:overlay val="0"/>
    </c:title>
    <c:autoTitleDeleted val="0"/>
    <c:plotArea>
      <c:layout/>
      <c:barChart>
        <c:barDir val="col"/>
        <c:grouping val="stacked"/>
        <c:varyColors val="0"/>
        <c:ser>
          <c:idx val="0"/>
          <c:order val="0"/>
          <c:tx>
            <c:strRef>
              <c:f>'Unemployed Actual Comparison'!$B$1</c:f>
              <c:strCache>
                <c:ptCount val="1"/>
                <c:pt idx="0">
                  <c:v>Enrolled</c:v>
                </c:pt>
              </c:strCache>
            </c:strRef>
          </c:tx>
          <c:invertIfNegative val="0"/>
          <c:cat>
            <c:strRef>
              <c:f>'Unemployed Actual Comparison'!$A$2:$A$16</c:f>
              <c:strCache>
                <c:ptCount val="15"/>
                <c:pt idx="0">
                  <c:v>ABCD (PPR 77%)</c:v>
                </c:pt>
                <c:pt idx="1">
                  <c:v>BREB  (PPR 71%)</c:v>
                </c:pt>
                <c:pt idx="2">
                  <c:v>BHA (PPR 78%)</c:v>
                </c:pt>
                <c:pt idx="3">
                  <c:v>BWIB (PPR 78%)</c:v>
                </c:pt>
                <c:pt idx="4">
                  <c:v>Cape  (PPR 78%)</c:v>
                </c:pt>
                <c:pt idx="5">
                  <c:v>CWS (PPR 76%)</c:v>
                </c:pt>
                <c:pt idx="6">
                  <c:v>FHREB (PPR 78%)</c:v>
                </c:pt>
                <c:pt idx="7">
                  <c:v>HREB (PPR 83%)</c:v>
                </c:pt>
                <c:pt idx="8">
                  <c:v>NBEDC (PPR 90%)</c:v>
                </c:pt>
                <c:pt idx="9">
                  <c:v>NCWIB (PPR 90%)</c:v>
                </c:pt>
                <c:pt idx="10">
                  <c:v>NSWIB (PPR 76%)</c:v>
                </c:pt>
                <c:pt idx="11">
                  <c:v>SMOC (PPR 88%)</c:v>
                </c:pt>
                <c:pt idx="12">
                  <c:v>SSCAC (PPR 88%)</c:v>
                </c:pt>
                <c:pt idx="13">
                  <c:v>UMA (PPR 89%)</c:v>
                </c:pt>
                <c:pt idx="14">
                  <c:v>YBB (PPR 60%)</c:v>
                </c:pt>
              </c:strCache>
            </c:strRef>
          </c:cat>
          <c:val>
            <c:numRef>
              <c:f>'Unemployed Actual Comparison'!$C$2:$C$16</c:f>
              <c:numCache>
                <c:formatCode>General</c:formatCode>
                <c:ptCount val="15"/>
                <c:pt idx="0">
                  <c:v>14</c:v>
                </c:pt>
                <c:pt idx="1">
                  <c:v>9</c:v>
                </c:pt>
                <c:pt idx="2">
                  <c:v>4</c:v>
                </c:pt>
                <c:pt idx="3">
                  <c:v>4</c:v>
                </c:pt>
                <c:pt idx="4">
                  <c:v>2</c:v>
                </c:pt>
                <c:pt idx="5">
                  <c:v>9</c:v>
                </c:pt>
                <c:pt idx="6">
                  <c:v>2</c:v>
                </c:pt>
                <c:pt idx="7">
                  <c:v>5</c:v>
                </c:pt>
                <c:pt idx="8">
                  <c:v>8</c:v>
                </c:pt>
                <c:pt idx="9">
                  <c:v>1</c:v>
                </c:pt>
                <c:pt idx="10">
                  <c:v>6</c:v>
                </c:pt>
                <c:pt idx="11">
                  <c:v>0</c:v>
                </c:pt>
                <c:pt idx="12">
                  <c:v>6</c:v>
                </c:pt>
                <c:pt idx="13">
                  <c:v>8</c:v>
                </c:pt>
                <c:pt idx="14">
                  <c:v>5</c:v>
                </c:pt>
              </c:numCache>
            </c:numRef>
          </c:val>
        </c:ser>
        <c:ser>
          <c:idx val="1"/>
          <c:order val="1"/>
          <c:tx>
            <c:strRef>
              <c:f>'Unemployed Actual Comparison'!$D$1</c:f>
              <c:strCache>
                <c:ptCount val="1"/>
                <c:pt idx="0">
                  <c:v>Enrolled &amp; Completed</c:v>
                </c:pt>
              </c:strCache>
            </c:strRef>
          </c:tx>
          <c:invertIfNegative val="0"/>
          <c:cat>
            <c:strRef>
              <c:f>'Unemployed Actual Comparison'!$A$2:$A$16</c:f>
              <c:strCache>
                <c:ptCount val="15"/>
                <c:pt idx="0">
                  <c:v>ABCD (PPR 77%)</c:v>
                </c:pt>
                <c:pt idx="1">
                  <c:v>BREB  (PPR 71%)</c:v>
                </c:pt>
                <c:pt idx="2">
                  <c:v>BHA (PPR 78%)</c:v>
                </c:pt>
                <c:pt idx="3">
                  <c:v>BWIB (PPR 78%)</c:v>
                </c:pt>
                <c:pt idx="4">
                  <c:v>Cape  (PPR 78%)</c:v>
                </c:pt>
                <c:pt idx="5">
                  <c:v>CWS (PPR 76%)</c:v>
                </c:pt>
                <c:pt idx="6">
                  <c:v>FHREB (PPR 78%)</c:v>
                </c:pt>
                <c:pt idx="7">
                  <c:v>HREB (PPR 83%)</c:v>
                </c:pt>
                <c:pt idx="8">
                  <c:v>NBEDC (PPR 90%)</c:v>
                </c:pt>
                <c:pt idx="9">
                  <c:v>NCWIB (PPR 90%)</c:v>
                </c:pt>
                <c:pt idx="10">
                  <c:v>NSWIB (PPR 76%)</c:v>
                </c:pt>
                <c:pt idx="11">
                  <c:v>SMOC (PPR 88%)</c:v>
                </c:pt>
                <c:pt idx="12">
                  <c:v>SSCAC (PPR 88%)</c:v>
                </c:pt>
                <c:pt idx="13">
                  <c:v>UMA (PPR 89%)</c:v>
                </c:pt>
                <c:pt idx="14">
                  <c:v>YBB (PPR 60%)</c:v>
                </c:pt>
              </c:strCache>
            </c:strRef>
          </c:cat>
          <c:val>
            <c:numRef>
              <c:f>'Unemployed Actual Comparison'!$E$2:$E$16</c:f>
              <c:numCache>
                <c:formatCode>General</c:formatCode>
                <c:ptCount val="15"/>
                <c:pt idx="0">
                  <c:v>2</c:v>
                </c:pt>
                <c:pt idx="1">
                  <c:v>12</c:v>
                </c:pt>
                <c:pt idx="2">
                  <c:v>42</c:v>
                </c:pt>
                <c:pt idx="3">
                  <c:v>0</c:v>
                </c:pt>
                <c:pt idx="4">
                  <c:v>5</c:v>
                </c:pt>
                <c:pt idx="5">
                  <c:v>16</c:v>
                </c:pt>
                <c:pt idx="6">
                  <c:v>6</c:v>
                </c:pt>
                <c:pt idx="7">
                  <c:v>8</c:v>
                </c:pt>
                <c:pt idx="8">
                  <c:v>12</c:v>
                </c:pt>
                <c:pt idx="9">
                  <c:v>4</c:v>
                </c:pt>
                <c:pt idx="10">
                  <c:v>8</c:v>
                </c:pt>
                <c:pt idx="11">
                  <c:v>4</c:v>
                </c:pt>
                <c:pt idx="12">
                  <c:v>0</c:v>
                </c:pt>
                <c:pt idx="13">
                  <c:v>9</c:v>
                </c:pt>
                <c:pt idx="14">
                  <c:v>12</c:v>
                </c:pt>
              </c:numCache>
            </c:numRef>
          </c:val>
        </c:ser>
        <c:ser>
          <c:idx val="2"/>
          <c:order val="2"/>
          <c:tx>
            <c:strRef>
              <c:f>'Unemployed Actual Comparison'!$F$1</c:f>
              <c:strCache>
                <c:ptCount val="1"/>
                <c:pt idx="0">
                  <c:v>Enrolled, Completed &amp; Obtained Job</c:v>
                </c:pt>
              </c:strCache>
            </c:strRef>
          </c:tx>
          <c:invertIfNegative val="0"/>
          <c:cat>
            <c:strRef>
              <c:f>'Unemployed Actual Comparison'!$A$2:$A$16</c:f>
              <c:strCache>
                <c:ptCount val="15"/>
                <c:pt idx="0">
                  <c:v>ABCD (PPR 77%)</c:v>
                </c:pt>
                <c:pt idx="1">
                  <c:v>BREB  (PPR 71%)</c:v>
                </c:pt>
                <c:pt idx="2">
                  <c:v>BHA (PPR 78%)</c:v>
                </c:pt>
                <c:pt idx="3">
                  <c:v>BWIB (PPR 78%)</c:v>
                </c:pt>
                <c:pt idx="4">
                  <c:v>Cape  (PPR 78%)</c:v>
                </c:pt>
                <c:pt idx="5">
                  <c:v>CWS (PPR 76%)</c:v>
                </c:pt>
                <c:pt idx="6">
                  <c:v>FHREB (PPR 78%)</c:v>
                </c:pt>
                <c:pt idx="7">
                  <c:v>HREB (PPR 83%)</c:v>
                </c:pt>
                <c:pt idx="8">
                  <c:v>NBEDC (PPR 90%)</c:v>
                </c:pt>
                <c:pt idx="9">
                  <c:v>NCWIB (PPR 90%)</c:v>
                </c:pt>
                <c:pt idx="10">
                  <c:v>NSWIB (PPR 76%)</c:v>
                </c:pt>
                <c:pt idx="11">
                  <c:v>SMOC (PPR 88%)</c:v>
                </c:pt>
                <c:pt idx="12">
                  <c:v>SSCAC (PPR 88%)</c:v>
                </c:pt>
                <c:pt idx="13">
                  <c:v>UMA (PPR 89%)</c:v>
                </c:pt>
                <c:pt idx="14">
                  <c:v>YBB (PPR 60%)</c:v>
                </c:pt>
              </c:strCache>
            </c:strRef>
          </c:cat>
          <c:val>
            <c:numRef>
              <c:f>'Unemployed Actual Comparison'!$F$2:$F$16</c:f>
              <c:numCache>
                <c:formatCode>General</c:formatCode>
                <c:ptCount val="15"/>
                <c:pt idx="0">
                  <c:v>23</c:v>
                </c:pt>
                <c:pt idx="1">
                  <c:v>52</c:v>
                </c:pt>
                <c:pt idx="2">
                  <c:v>86</c:v>
                </c:pt>
                <c:pt idx="3">
                  <c:v>39</c:v>
                </c:pt>
                <c:pt idx="4">
                  <c:v>33</c:v>
                </c:pt>
                <c:pt idx="5">
                  <c:v>63</c:v>
                </c:pt>
                <c:pt idx="6">
                  <c:v>41</c:v>
                </c:pt>
                <c:pt idx="7">
                  <c:v>47</c:v>
                </c:pt>
                <c:pt idx="8">
                  <c:v>23</c:v>
                </c:pt>
                <c:pt idx="9">
                  <c:v>55</c:v>
                </c:pt>
                <c:pt idx="10">
                  <c:v>56</c:v>
                </c:pt>
                <c:pt idx="11">
                  <c:v>30</c:v>
                </c:pt>
                <c:pt idx="12">
                  <c:v>29</c:v>
                </c:pt>
                <c:pt idx="13">
                  <c:v>65</c:v>
                </c:pt>
                <c:pt idx="14">
                  <c:v>28</c:v>
                </c:pt>
              </c:numCache>
            </c:numRef>
          </c:val>
        </c:ser>
        <c:ser>
          <c:idx val="3"/>
          <c:order val="3"/>
          <c:tx>
            <c:strRef>
              <c:f>'Unemployed Actual Comparison'!$G$1</c:f>
              <c:strCache>
                <c:ptCount val="1"/>
                <c:pt idx="0">
                  <c:v>Placement Rate</c:v>
                </c:pt>
              </c:strCache>
            </c:strRef>
          </c:tx>
          <c:spPr>
            <a:noFill/>
            <a:ln>
              <a:noFill/>
            </a:ln>
          </c:spPr>
          <c:invertIfNegative val="0"/>
          <c:dLbls>
            <c:dLbl>
              <c:idx val="0"/>
              <c:layout>
                <c:manualLayout>
                  <c:x val="0"/>
                  <c:y val="-4.1947565543071164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037037037036869E-3"/>
                  <c:y val="-4.49438202247191E-2"/>
                </c:manualLayout>
              </c:layout>
              <c:tx>
                <c:rich>
                  <a:bodyPr/>
                  <a:lstStyle/>
                  <a:p>
                    <a:r>
                      <a:rPr lang="en-US">
                        <a:solidFill>
                          <a:srgbClr val="00B050"/>
                        </a:solidFill>
                      </a:rPr>
                      <a:t>71%</a:t>
                    </a:r>
                  </a:p>
                </c:rich>
              </c:tx>
              <c:dLblPos val="ct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4074074074074077E-3"/>
                  <c:y val="-4.4943820224719128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696629213483146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3.895131086142322E-2"/>
                </c:manualLayout>
              </c:layout>
              <c:tx>
                <c:rich>
                  <a:bodyPr/>
                  <a:lstStyle/>
                  <a:p>
                    <a:r>
                      <a:rPr lang="en-US">
                        <a:solidFill>
                          <a:srgbClr val="00B050"/>
                        </a:solidFill>
                      </a:rPr>
                      <a:t>83%</a:t>
                    </a:r>
                  </a:p>
                </c:rich>
              </c:tx>
              <c:dLblPos val="ct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5.5555555555555558E-3"/>
                  <c:y val="-2.696629213483146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7900450176106624E-17"/>
                  <c:y val="-3.5955056179775388E-2"/>
                </c:manualLayout>
              </c:layout>
              <c:spPr>
                <a:noFill/>
                <a:ln>
                  <a:solidFill>
                    <a:schemeClr val="bg1"/>
                  </a:solidFill>
                </a:ln>
                <a:effectLst/>
              </c:spPr>
              <c:txPr>
                <a:bodyPr wrap="square" lIns="38100" tIns="19050" rIns="38100" bIns="19050" anchor="ctr">
                  <a:spAutoFit/>
                </a:bodyPr>
                <a:lstStyle/>
                <a:p>
                  <a:pPr>
                    <a:defRPr>
                      <a:solidFill>
                        <a:srgbClr val="00B05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5555555555555558E-3"/>
                  <c:y val="-2.696629213483151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518518518518519E-3"/>
                  <c:y val="-2.696629213483146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2.6966292134831517E-2"/>
                </c:manualLayout>
              </c:layout>
              <c:spPr>
                <a:noFill/>
                <a:ln w="25400">
                  <a:noFill/>
                </a:ln>
              </c:spPr>
              <c:txPr>
                <a:bodyPr wrap="square" lIns="38100" tIns="19050" rIns="38100" bIns="19050" anchor="ctr">
                  <a:spAutoFit/>
                </a:bodyPr>
                <a:lstStyle/>
                <a:p>
                  <a:pPr>
                    <a:defRPr>
                      <a:solidFill>
                        <a:srgbClr val="00B05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5555555555555558E-3"/>
                  <c:y val="-3.895131086142322E-2"/>
                </c:manualLayout>
              </c:layout>
              <c:spPr>
                <a:noFill/>
                <a:ln w="25400">
                  <a:noFill/>
                </a:ln>
              </c:spPr>
              <c:txPr>
                <a:bodyPr wrap="square" lIns="38100" tIns="19050" rIns="38100" bIns="19050" anchor="ctr">
                  <a:spAutoFit/>
                </a:bodyPr>
                <a:lstStyle/>
                <a:p>
                  <a:pPr>
                    <a:defRPr>
                      <a:solidFill>
                        <a:srgbClr val="00B05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1.7977528089887642E-2"/>
                </c:manualLayout>
              </c:layout>
              <c:spPr>
                <a:noFill/>
                <a:ln w="25400">
                  <a:noFill/>
                </a:ln>
              </c:spPr>
              <c:txPr>
                <a:bodyPr wrap="square" lIns="38100" tIns="19050" rIns="38100" bIns="19050" anchor="ctr">
                  <a:spAutoFit/>
                </a:bodyPr>
                <a:lstStyle/>
                <a:p>
                  <a:pPr>
                    <a:defRPr>
                      <a:solidFill>
                        <a:srgbClr val="00B05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7.4074074074074077E-3"/>
                  <c:y val="-2.097378277153568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1.8518518518518519E-3"/>
                  <c:y val="-1.7977528089887642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
                  <c:y val="-2.3970037453183522E-2"/>
                </c:manualLayout>
              </c:layout>
              <c:spPr>
                <a:noFill/>
                <a:ln w="25400">
                  <a:noFill/>
                </a:ln>
              </c:spPr>
              <c:txPr>
                <a:bodyPr wrap="square" lIns="38100" tIns="19050" rIns="38100" bIns="19050" anchor="ctr">
                  <a:spAutoFit/>
                </a:bodyPr>
                <a:lstStyle/>
                <a:p>
                  <a:pPr>
                    <a:defRPr>
                      <a:solidFill>
                        <a:srgbClr val="00B050"/>
                      </a:solidFill>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'Unemployed Actual Comparison'!$G$2:$G$16</c:f>
              <c:numCache>
                <c:formatCode>0%</c:formatCode>
                <c:ptCount val="15"/>
                <c:pt idx="0">
                  <c:v>0.58974358974358976</c:v>
                </c:pt>
                <c:pt idx="1">
                  <c:v>0.71232876712328763</c:v>
                </c:pt>
                <c:pt idx="2">
                  <c:v>0.65151515151515149</c:v>
                </c:pt>
                <c:pt idx="3">
                  <c:v>0.76470588235294112</c:v>
                </c:pt>
                <c:pt idx="4">
                  <c:v>0.82499999999999996</c:v>
                </c:pt>
                <c:pt idx="5">
                  <c:v>0.71590909090909094</c:v>
                </c:pt>
                <c:pt idx="6">
                  <c:v>0.83673469387755106</c:v>
                </c:pt>
                <c:pt idx="7">
                  <c:v>0.78333333333333333</c:v>
                </c:pt>
                <c:pt idx="8">
                  <c:v>0.53488372093023251</c:v>
                </c:pt>
                <c:pt idx="9">
                  <c:v>0.90163934426229508</c:v>
                </c:pt>
                <c:pt idx="10">
                  <c:v>0.8</c:v>
                </c:pt>
                <c:pt idx="11">
                  <c:v>0.88235294117647056</c:v>
                </c:pt>
                <c:pt idx="12">
                  <c:v>0.82857142857142863</c:v>
                </c:pt>
                <c:pt idx="13">
                  <c:v>0.79268292682926833</c:v>
                </c:pt>
                <c:pt idx="14">
                  <c:v>0.60869565217391308</c:v>
                </c:pt>
              </c:numCache>
            </c:numRef>
          </c:val>
        </c:ser>
        <c:dLbls>
          <c:showLegendKey val="0"/>
          <c:showVal val="0"/>
          <c:showCatName val="0"/>
          <c:showSerName val="0"/>
          <c:showPercent val="0"/>
          <c:showBubbleSize val="0"/>
        </c:dLbls>
        <c:gapWidth val="150"/>
        <c:overlap val="100"/>
        <c:axId val="443398416"/>
        <c:axId val="443407664"/>
      </c:barChart>
      <c:catAx>
        <c:axId val="44339841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443407664"/>
        <c:crosses val="autoZero"/>
        <c:auto val="1"/>
        <c:lblAlgn val="ctr"/>
        <c:lblOffset val="100"/>
        <c:noMultiLvlLbl val="0"/>
      </c:catAx>
      <c:valAx>
        <c:axId val="4434076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43398416"/>
        <c:crosses val="autoZero"/>
        <c:crossBetween val="between"/>
      </c:valAx>
    </c:plotArea>
    <c:legend>
      <c:legendPos val="b"/>
      <c:layout/>
      <c:overlay val="0"/>
      <c:txPr>
        <a:bodyPr/>
        <a:lstStyle/>
        <a:p>
          <a:pPr>
            <a:defRPr sz="545"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0FF8-7BEE-4B29-A7EA-A3E690EB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trowland</dc:creator>
  <cp:lastModifiedBy>Theresa Rowland</cp:lastModifiedBy>
  <cp:revision>4</cp:revision>
  <cp:lastPrinted>2016-10-13T14:24:00Z</cp:lastPrinted>
  <dcterms:created xsi:type="dcterms:W3CDTF">2016-09-28T11:45:00Z</dcterms:created>
  <dcterms:modified xsi:type="dcterms:W3CDTF">2016-10-13T15:09:00Z</dcterms:modified>
</cp:coreProperties>
</file>