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EFAA5" w14:textId="77777777" w:rsidR="00CE10F3" w:rsidRPr="00CE10F3" w:rsidRDefault="00CE10F3" w:rsidP="00CE10F3">
      <w:pPr>
        <w:jc w:val="center"/>
        <w:rPr>
          <w:rFonts w:asciiTheme="minorHAnsi" w:hAnsiTheme="minorHAnsi" w:cstheme="minorHAnsi"/>
          <w:b/>
          <w:sz w:val="28"/>
          <w:szCs w:val="28"/>
        </w:rPr>
      </w:pPr>
      <w:r w:rsidRPr="00CE10F3">
        <w:rPr>
          <w:rFonts w:asciiTheme="minorHAnsi" w:hAnsiTheme="minorHAnsi" w:cstheme="minorHAnsi"/>
          <w:b/>
          <w:sz w:val="28"/>
          <w:szCs w:val="28"/>
        </w:rPr>
        <w:t>Employment Program for Young Adults with Disabilities</w:t>
      </w:r>
    </w:p>
    <w:p w14:paraId="42729B0E" w14:textId="578AFFDC" w:rsidR="00CE10F3" w:rsidRPr="00CE10F3" w:rsidRDefault="00CE10F3" w:rsidP="00CE10F3">
      <w:pPr>
        <w:jc w:val="center"/>
        <w:rPr>
          <w:rFonts w:asciiTheme="minorHAnsi" w:hAnsiTheme="minorHAnsi" w:cstheme="minorHAnsi"/>
          <w:b/>
          <w:sz w:val="28"/>
          <w:szCs w:val="28"/>
        </w:rPr>
      </w:pPr>
      <w:r w:rsidRPr="00CE10F3">
        <w:rPr>
          <w:rFonts w:asciiTheme="minorHAnsi" w:hAnsiTheme="minorHAnsi" w:cstheme="minorHAnsi"/>
          <w:b/>
          <w:sz w:val="28"/>
          <w:szCs w:val="28"/>
        </w:rPr>
        <w:t>FY’</w:t>
      </w:r>
      <w:r w:rsidR="005C2687">
        <w:rPr>
          <w:rFonts w:asciiTheme="minorHAnsi" w:hAnsiTheme="minorHAnsi" w:cstheme="minorHAnsi"/>
          <w:b/>
          <w:sz w:val="28"/>
          <w:szCs w:val="28"/>
        </w:rPr>
        <w:t>2</w:t>
      </w:r>
      <w:r w:rsidR="00505898">
        <w:rPr>
          <w:rFonts w:asciiTheme="minorHAnsi" w:hAnsiTheme="minorHAnsi" w:cstheme="minorHAnsi"/>
          <w:b/>
          <w:sz w:val="28"/>
          <w:szCs w:val="28"/>
        </w:rPr>
        <w:t>2</w:t>
      </w:r>
      <w:r w:rsidRPr="00CE10F3">
        <w:rPr>
          <w:rFonts w:asciiTheme="minorHAnsi" w:hAnsiTheme="minorHAnsi" w:cstheme="minorHAnsi"/>
          <w:b/>
          <w:sz w:val="28"/>
          <w:szCs w:val="28"/>
        </w:rPr>
        <w:t xml:space="preserve"> Appropriation</w:t>
      </w:r>
    </w:p>
    <w:p w14:paraId="41B33F87" w14:textId="77777777" w:rsidR="00CE10F3" w:rsidRPr="00CE10F3" w:rsidRDefault="00CE10F3" w:rsidP="00CE10F3">
      <w:pPr>
        <w:jc w:val="center"/>
        <w:rPr>
          <w:rFonts w:asciiTheme="minorHAnsi" w:hAnsiTheme="minorHAnsi" w:cstheme="minorHAnsi"/>
          <w:b/>
          <w:sz w:val="28"/>
          <w:szCs w:val="28"/>
        </w:rPr>
      </w:pPr>
      <w:r w:rsidRPr="00CE10F3">
        <w:rPr>
          <w:rFonts w:asciiTheme="minorHAnsi" w:hAnsiTheme="minorHAnsi" w:cstheme="minorHAnsi"/>
          <w:b/>
          <w:sz w:val="28"/>
          <w:szCs w:val="28"/>
        </w:rPr>
        <w:t>Questions &amp; Answers</w:t>
      </w:r>
    </w:p>
    <w:p w14:paraId="1498F6E9" w14:textId="54919A1E" w:rsidR="00CE10F3" w:rsidRPr="00752CFB" w:rsidRDefault="00CE10F3" w:rsidP="00CE10F3">
      <w:pPr>
        <w:jc w:val="center"/>
        <w:rPr>
          <w:rFonts w:asciiTheme="minorHAnsi" w:hAnsiTheme="minorHAnsi" w:cstheme="minorHAnsi"/>
          <w:b/>
          <w:color w:val="7030A0"/>
          <w:sz w:val="28"/>
          <w:szCs w:val="28"/>
        </w:rPr>
      </w:pPr>
      <w:r w:rsidRPr="00752CFB">
        <w:rPr>
          <w:rFonts w:asciiTheme="minorHAnsi" w:hAnsiTheme="minorHAnsi" w:cstheme="minorHAnsi"/>
          <w:b/>
          <w:color w:val="7030A0"/>
          <w:sz w:val="28"/>
          <w:szCs w:val="28"/>
        </w:rPr>
        <w:t xml:space="preserve">Updated </w:t>
      </w:r>
      <w:r w:rsidR="001F11C3">
        <w:rPr>
          <w:rFonts w:asciiTheme="minorHAnsi" w:hAnsiTheme="minorHAnsi" w:cstheme="minorHAnsi"/>
          <w:b/>
          <w:color w:val="7030A0"/>
          <w:sz w:val="28"/>
          <w:szCs w:val="28"/>
        </w:rPr>
        <w:t>9</w:t>
      </w:r>
      <w:r w:rsidR="001A62AF">
        <w:rPr>
          <w:rFonts w:asciiTheme="minorHAnsi" w:hAnsiTheme="minorHAnsi" w:cstheme="minorHAnsi"/>
          <w:b/>
          <w:color w:val="7030A0"/>
          <w:sz w:val="28"/>
          <w:szCs w:val="28"/>
        </w:rPr>
        <w:t>.</w:t>
      </w:r>
      <w:r w:rsidR="001F11C3">
        <w:rPr>
          <w:rFonts w:asciiTheme="minorHAnsi" w:hAnsiTheme="minorHAnsi" w:cstheme="minorHAnsi"/>
          <w:b/>
          <w:color w:val="7030A0"/>
          <w:sz w:val="28"/>
          <w:szCs w:val="28"/>
        </w:rPr>
        <w:t>2</w:t>
      </w:r>
      <w:r w:rsidR="008A1427">
        <w:rPr>
          <w:rFonts w:asciiTheme="minorHAnsi" w:hAnsiTheme="minorHAnsi" w:cstheme="minorHAnsi"/>
          <w:b/>
          <w:color w:val="7030A0"/>
          <w:sz w:val="28"/>
          <w:szCs w:val="28"/>
        </w:rPr>
        <w:t>4</w:t>
      </w:r>
      <w:r w:rsidR="00086DCB">
        <w:rPr>
          <w:rFonts w:asciiTheme="minorHAnsi" w:hAnsiTheme="minorHAnsi" w:cstheme="minorHAnsi"/>
          <w:b/>
          <w:color w:val="7030A0"/>
          <w:sz w:val="28"/>
          <w:szCs w:val="28"/>
        </w:rPr>
        <w:t>.2021</w:t>
      </w:r>
      <w:r w:rsidR="00B86F21" w:rsidRPr="00752CFB">
        <w:rPr>
          <w:rFonts w:asciiTheme="minorHAnsi" w:hAnsiTheme="minorHAnsi" w:cstheme="minorHAnsi"/>
          <w:b/>
          <w:color w:val="7030A0"/>
          <w:sz w:val="28"/>
          <w:szCs w:val="28"/>
        </w:rPr>
        <w:t xml:space="preserve"> </w:t>
      </w:r>
      <w:r w:rsidR="00575378" w:rsidRPr="00752CFB">
        <w:rPr>
          <w:rFonts w:asciiTheme="minorHAnsi" w:hAnsiTheme="minorHAnsi" w:cstheme="minorHAnsi"/>
          <w:b/>
          <w:color w:val="7030A0"/>
          <w:sz w:val="28"/>
          <w:szCs w:val="28"/>
        </w:rPr>
        <w:t>-</w:t>
      </w:r>
      <w:r w:rsidR="00B86F21" w:rsidRPr="00752CFB">
        <w:rPr>
          <w:rFonts w:asciiTheme="minorHAnsi" w:hAnsiTheme="minorHAnsi" w:cstheme="minorHAnsi"/>
          <w:b/>
          <w:color w:val="7030A0"/>
          <w:sz w:val="28"/>
          <w:szCs w:val="28"/>
        </w:rPr>
        <w:t xml:space="preserve"> </w:t>
      </w:r>
      <w:r w:rsidR="00575378" w:rsidRPr="00752CFB">
        <w:rPr>
          <w:rFonts w:asciiTheme="minorHAnsi" w:hAnsiTheme="minorHAnsi" w:cstheme="minorHAnsi"/>
          <w:b/>
          <w:color w:val="7030A0"/>
          <w:sz w:val="28"/>
          <w:szCs w:val="28"/>
        </w:rPr>
        <w:t xml:space="preserve">New Questions/Answers in </w:t>
      </w:r>
      <w:r w:rsidR="00752CFB">
        <w:rPr>
          <w:rFonts w:asciiTheme="minorHAnsi" w:hAnsiTheme="minorHAnsi" w:cstheme="minorHAnsi"/>
          <w:b/>
          <w:color w:val="7030A0"/>
          <w:sz w:val="28"/>
          <w:szCs w:val="28"/>
        </w:rPr>
        <w:t>Purple</w:t>
      </w:r>
      <w:r w:rsidR="00635C9A">
        <w:rPr>
          <w:rFonts w:asciiTheme="minorHAnsi" w:hAnsiTheme="minorHAnsi" w:cstheme="minorHAnsi"/>
          <w:b/>
          <w:color w:val="7030A0"/>
          <w:sz w:val="28"/>
          <w:szCs w:val="28"/>
        </w:rPr>
        <w:t xml:space="preserve"> - </w:t>
      </w:r>
      <w:r w:rsidR="00086DCB">
        <w:rPr>
          <w:rFonts w:asciiTheme="minorHAnsi" w:hAnsiTheme="minorHAnsi" w:cstheme="minorHAnsi"/>
          <w:b/>
          <w:color w:val="7030A0"/>
          <w:sz w:val="28"/>
          <w:szCs w:val="28"/>
        </w:rPr>
        <w:t>#</w:t>
      </w:r>
      <w:r w:rsidR="001A62AF">
        <w:rPr>
          <w:rFonts w:asciiTheme="minorHAnsi" w:hAnsiTheme="minorHAnsi" w:cstheme="minorHAnsi"/>
          <w:b/>
          <w:color w:val="7030A0"/>
          <w:sz w:val="28"/>
          <w:szCs w:val="28"/>
        </w:rPr>
        <w:t>1</w:t>
      </w:r>
    </w:p>
    <w:p w14:paraId="4B450C74" w14:textId="77777777" w:rsidR="00CE10F3" w:rsidRPr="00575378" w:rsidRDefault="00CE10F3" w:rsidP="00CE10F3">
      <w:pPr>
        <w:jc w:val="center"/>
        <w:rPr>
          <w:rFonts w:asciiTheme="minorHAnsi" w:hAnsiTheme="minorHAnsi" w:cstheme="minorHAnsi"/>
          <w:b/>
          <w:color w:val="FF0000"/>
          <w:sz w:val="28"/>
          <w:szCs w:val="28"/>
        </w:rPr>
      </w:pPr>
    </w:p>
    <w:p w14:paraId="012D94BB" w14:textId="30C84CA8" w:rsidR="00F83E8E" w:rsidRDefault="00F83E8E" w:rsidP="00567A5A">
      <w:pPr>
        <w:ind w:left="720"/>
        <w:jc w:val="center"/>
        <w:rPr>
          <w:rFonts w:asciiTheme="minorHAnsi" w:hAnsiTheme="minorHAnsi" w:cstheme="minorHAnsi"/>
          <w:b/>
          <w:sz w:val="22"/>
          <w:szCs w:val="22"/>
        </w:rPr>
      </w:pPr>
      <w:r w:rsidRPr="004C76B3">
        <w:rPr>
          <w:rFonts w:asciiTheme="minorHAnsi" w:hAnsiTheme="minorHAnsi" w:cstheme="minorHAnsi"/>
          <w:i/>
          <w:iCs/>
          <w:sz w:val="22"/>
          <w:szCs w:val="22"/>
        </w:rPr>
        <w:t xml:space="preserve">As a reminder, all applications are due electronically </w:t>
      </w:r>
      <w:r w:rsidR="001F11C3" w:rsidRPr="004C76B3">
        <w:rPr>
          <w:rFonts w:asciiTheme="minorHAnsi" w:hAnsiTheme="minorHAnsi" w:cstheme="minorHAnsi"/>
          <w:i/>
          <w:iCs/>
          <w:sz w:val="22"/>
          <w:szCs w:val="22"/>
        </w:rPr>
        <w:t xml:space="preserve">October 18, 2022 </w:t>
      </w:r>
      <w:r w:rsidRPr="004C76B3">
        <w:rPr>
          <w:rFonts w:asciiTheme="minorHAnsi" w:hAnsiTheme="minorHAnsi" w:cstheme="minorHAnsi"/>
          <w:i/>
          <w:iCs/>
          <w:sz w:val="22"/>
          <w:szCs w:val="22"/>
        </w:rPr>
        <w:t>by 5:00 PM EST via the following link</w:t>
      </w:r>
      <w:r w:rsidRPr="001F11C3">
        <w:rPr>
          <w:rFonts w:asciiTheme="minorHAnsi" w:hAnsiTheme="minorHAnsi" w:cstheme="minorHAnsi"/>
          <w:i/>
          <w:iCs/>
          <w:color w:val="7030A0"/>
          <w:sz w:val="22"/>
          <w:szCs w:val="22"/>
        </w:rPr>
        <w:t xml:space="preserve">: </w:t>
      </w:r>
      <w:hyperlink r:id="rId7" w:tgtFrame="_blank" w:history="1">
        <w:r w:rsidR="001F11C3" w:rsidRPr="001F11C3">
          <w:rPr>
            <w:rStyle w:val="Hyperlink"/>
            <w:rFonts w:asciiTheme="minorHAnsi" w:hAnsiTheme="minorHAnsi" w:cstheme="minorHAnsi"/>
            <w:i/>
            <w:iCs/>
            <w:sz w:val="22"/>
            <w:szCs w:val="22"/>
          </w:rPr>
          <w:t>https://commcorp.tfaforms.net/328907</w:t>
        </w:r>
      </w:hyperlink>
      <w:r w:rsidRPr="001F11C3">
        <w:rPr>
          <w:rFonts w:asciiTheme="minorHAnsi" w:hAnsiTheme="minorHAnsi" w:cstheme="minorHAnsi"/>
          <w:i/>
          <w:iCs/>
          <w:sz w:val="22"/>
          <w:szCs w:val="22"/>
        </w:rPr>
        <w:t>.</w:t>
      </w:r>
    </w:p>
    <w:p w14:paraId="0217C615" w14:textId="77777777" w:rsidR="00F83E8E" w:rsidRDefault="00F83E8E" w:rsidP="00EA4DCF">
      <w:pPr>
        <w:ind w:left="720" w:hanging="720"/>
        <w:rPr>
          <w:rFonts w:asciiTheme="minorHAnsi" w:hAnsiTheme="minorHAnsi" w:cstheme="minorHAnsi"/>
          <w:b/>
          <w:sz w:val="22"/>
          <w:szCs w:val="22"/>
        </w:rPr>
      </w:pPr>
    </w:p>
    <w:p w14:paraId="32FBA6BE" w14:textId="693D84E1" w:rsidR="00EA4DCF" w:rsidRPr="00FE7DA1" w:rsidRDefault="009E3AD6" w:rsidP="00EA4DCF">
      <w:pPr>
        <w:ind w:left="720" w:hanging="720"/>
        <w:rPr>
          <w:rFonts w:asciiTheme="minorHAnsi" w:hAnsiTheme="minorHAnsi" w:cstheme="minorHAnsi"/>
          <w:b/>
          <w:u w:val="single"/>
        </w:rPr>
      </w:pPr>
      <w:r w:rsidRPr="00FE7DA1">
        <w:rPr>
          <w:rFonts w:asciiTheme="minorHAnsi" w:hAnsiTheme="minorHAnsi" w:cstheme="minorHAnsi"/>
          <w:b/>
          <w:u w:val="single"/>
        </w:rPr>
        <w:t>Eligible Lead Applicants</w:t>
      </w:r>
      <w:r w:rsidR="00AF5A71" w:rsidRPr="00FE7DA1">
        <w:rPr>
          <w:rFonts w:asciiTheme="minorHAnsi" w:hAnsiTheme="minorHAnsi" w:cstheme="minorHAnsi"/>
          <w:b/>
          <w:u w:val="single"/>
        </w:rPr>
        <w:t xml:space="preserve"> and Partners</w:t>
      </w:r>
    </w:p>
    <w:p w14:paraId="7B389060" w14:textId="77777777" w:rsidR="00EA4DCF" w:rsidRPr="00635C9A" w:rsidRDefault="00EA4DCF" w:rsidP="00EA4DCF">
      <w:pPr>
        <w:ind w:left="720" w:hanging="720"/>
        <w:rPr>
          <w:rFonts w:asciiTheme="minorHAnsi" w:hAnsiTheme="minorHAnsi" w:cstheme="minorHAnsi"/>
          <w:sz w:val="22"/>
          <w:szCs w:val="22"/>
        </w:rPr>
      </w:pPr>
    </w:p>
    <w:p w14:paraId="4151E54A" w14:textId="77777777" w:rsidR="001F11C3" w:rsidRPr="00BD306C" w:rsidRDefault="001F11C3" w:rsidP="00BD306C">
      <w:pPr>
        <w:ind w:left="720" w:hanging="720"/>
        <w:jc w:val="both"/>
        <w:rPr>
          <w:rFonts w:asciiTheme="minorHAnsi" w:hAnsiTheme="minorHAnsi" w:cstheme="minorHAnsi"/>
          <w:b/>
          <w:color w:val="7030A0"/>
          <w:sz w:val="22"/>
          <w:szCs w:val="22"/>
        </w:rPr>
      </w:pPr>
      <w:r w:rsidRPr="00BD306C">
        <w:rPr>
          <w:rFonts w:asciiTheme="minorHAnsi" w:hAnsiTheme="minorHAnsi" w:cstheme="minorHAnsi"/>
          <w:b/>
          <w:color w:val="7030A0"/>
          <w:sz w:val="22"/>
          <w:szCs w:val="22"/>
        </w:rPr>
        <w:t xml:space="preserve">Q: </w:t>
      </w:r>
      <w:r w:rsidRPr="00BD306C">
        <w:rPr>
          <w:rFonts w:asciiTheme="minorHAnsi" w:hAnsiTheme="minorHAnsi" w:cstheme="minorHAnsi"/>
          <w:b/>
          <w:color w:val="7030A0"/>
          <w:sz w:val="22"/>
          <w:szCs w:val="22"/>
        </w:rPr>
        <w:tab/>
        <w:t>We were awarded this grant in the past, in service of a different population and a different industry. Would that preclude us from receiving this grant again?</w:t>
      </w:r>
    </w:p>
    <w:p w14:paraId="7DD6270A" w14:textId="77777777" w:rsidR="001F11C3" w:rsidRPr="00BD306C" w:rsidRDefault="001F11C3" w:rsidP="00BD306C">
      <w:pPr>
        <w:ind w:left="720" w:hanging="720"/>
        <w:jc w:val="both"/>
        <w:rPr>
          <w:rFonts w:asciiTheme="minorHAnsi" w:hAnsiTheme="minorHAnsi" w:cstheme="minorHAnsi"/>
          <w:b/>
          <w:color w:val="7030A0"/>
          <w:sz w:val="22"/>
          <w:szCs w:val="22"/>
        </w:rPr>
      </w:pPr>
      <w:r w:rsidRPr="00BD306C">
        <w:rPr>
          <w:rFonts w:asciiTheme="minorHAnsi" w:hAnsiTheme="minorHAnsi" w:cstheme="minorHAnsi"/>
          <w:b/>
          <w:color w:val="7030A0"/>
          <w:sz w:val="22"/>
          <w:szCs w:val="22"/>
        </w:rPr>
        <w:t xml:space="preserve">A: </w:t>
      </w:r>
      <w:r w:rsidRPr="00BD306C">
        <w:rPr>
          <w:rFonts w:asciiTheme="minorHAnsi" w:hAnsiTheme="minorHAnsi" w:cstheme="minorHAnsi"/>
          <w:b/>
          <w:color w:val="7030A0"/>
          <w:sz w:val="22"/>
          <w:szCs w:val="22"/>
        </w:rPr>
        <w:tab/>
        <w:t xml:space="preserve">Previous recipients of a grant award through the Employment Program for Young Adults with Disabilities, Learn to Earn, the Workforce Competitiveness Trust Fund, or other Commonwealth Corporation grant programs are eligible to apply. </w:t>
      </w:r>
    </w:p>
    <w:p w14:paraId="1BA49EB3" w14:textId="77777777" w:rsidR="001F11C3" w:rsidRPr="00BD306C" w:rsidRDefault="001F11C3" w:rsidP="00BD306C">
      <w:pPr>
        <w:jc w:val="both"/>
        <w:rPr>
          <w:rFonts w:asciiTheme="minorHAnsi" w:hAnsiTheme="minorHAnsi" w:cstheme="minorHAnsi"/>
          <w:b/>
          <w:color w:val="7030A0"/>
          <w:sz w:val="22"/>
          <w:szCs w:val="22"/>
        </w:rPr>
      </w:pPr>
    </w:p>
    <w:p w14:paraId="1568FA71" w14:textId="77777777" w:rsidR="001F11C3" w:rsidRPr="00BD306C" w:rsidRDefault="001F11C3" w:rsidP="00BD306C">
      <w:pPr>
        <w:ind w:firstLine="720"/>
        <w:jc w:val="both"/>
        <w:rPr>
          <w:rFonts w:asciiTheme="minorHAnsi" w:hAnsiTheme="minorHAnsi" w:cstheme="minorHAnsi"/>
          <w:b/>
          <w:color w:val="7030A0"/>
          <w:sz w:val="22"/>
          <w:szCs w:val="22"/>
        </w:rPr>
      </w:pPr>
      <w:r w:rsidRPr="00BD306C">
        <w:rPr>
          <w:rFonts w:ascii="Calibri" w:eastAsia="Calibri" w:hAnsi="Calibri"/>
          <w:b/>
          <w:color w:val="7030A0"/>
          <w:sz w:val="22"/>
          <w:szCs w:val="22"/>
        </w:rPr>
        <w:t>The eligible lead applicants are community-based organizations</w:t>
      </w:r>
      <w:r w:rsidRPr="00BD306C">
        <w:rPr>
          <w:rFonts w:ascii="Calibri" w:eastAsia="Calibri" w:hAnsi="Calibri"/>
          <w:b/>
          <w:color w:val="7030A0"/>
          <w:sz w:val="22"/>
          <w:szCs w:val="22"/>
          <w:vertAlign w:val="superscript"/>
        </w:rPr>
        <w:t xml:space="preserve"> </w:t>
      </w:r>
      <w:r w:rsidRPr="00BD306C">
        <w:rPr>
          <w:rFonts w:ascii="Calibri" w:eastAsia="Calibri" w:hAnsi="Calibri"/>
          <w:b/>
          <w:color w:val="7030A0"/>
          <w:sz w:val="22"/>
          <w:szCs w:val="22"/>
        </w:rPr>
        <w:t>with:</w:t>
      </w:r>
    </w:p>
    <w:p w14:paraId="775C8A7A" w14:textId="77777777" w:rsidR="001F11C3" w:rsidRPr="00BD306C" w:rsidRDefault="001F11C3" w:rsidP="00BD306C">
      <w:pPr>
        <w:numPr>
          <w:ilvl w:val="0"/>
          <w:numId w:val="7"/>
        </w:numPr>
        <w:spacing w:after="160" w:line="259" w:lineRule="auto"/>
        <w:contextualSpacing/>
        <w:jc w:val="both"/>
        <w:rPr>
          <w:rFonts w:ascii="Calibri" w:eastAsia="Calibri" w:hAnsi="Calibri"/>
          <w:b/>
          <w:color w:val="7030A0"/>
          <w:sz w:val="22"/>
          <w:szCs w:val="22"/>
        </w:rPr>
      </w:pPr>
      <w:r w:rsidRPr="00BD306C">
        <w:rPr>
          <w:rFonts w:ascii="Calibri" w:eastAsia="Calibri" w:hAnsi="Calibri"/>
          <w:b/>
          <w:color w:val="7030A0"/>
          <w:sz w:val="22"/>
          <w:szCs w:val="22"/>
        </w:rPr>
        <w:t>demonstrated success and expertise in preparing young adults with disabilities for employment, providing them with occupationally specific skills training, placing them in unsubsidized paid positions, and providing post-placement support that leads to employment retention and,</w:t>
      </w:r>
    </w:p>
    <w:p w14:paraId="34396AD3" w14:textId="77777777" w:rsidR="001F11C3" w:rsidRPr="00BD306C" w:rsidRDefault="001F11C3" w:rsidP="00BD306C">
      <w:pPr>
        <w:numPr>
          <w:ilvl w:val="0"/>
          <w:numId w:val="7"/>
        </w:numPr>
        <w:spacing w:after="160" w:line="259" w:lineRule="auto"/>
        <w:contextualSpacing/>
        <w:jc w:val="both"/>
        <w:rPr>
          <w:rFonts w:ascii="Calibri" w:eastAsia="Calibri" w:hAnsi="Calibri"/>
          <w:b/>
          <w:color w:val="7030A0"/>
          <w:sz w:val="22"/>
          <w:szCs w:val="22"/>
        </w:rPr>
      </w:pPr>
      <w:r w:rsidRPr="00BD306C">
        <w:rPr>
          <w:rFonts w:ascii="Calibri" w:eastAsia="Calibri" w:hAnsi="Calibri"/>
          <w:b/>
          <w:color w:val="7030A0"/>
          <w:sz w:val="22"/>
          <w:szCs w:val="22"/>
        </w:rPr>
        <w:t>evidence of effective partnerships with employers that engages them in program design and delivery and has resulted in placements and retained unsubsidized paid employment of young adults with disabilities in targeted occupations at the employers’ workplaces.</w:t>
      </w:r>
    </w:p>
    <w:p w14:paraId="640E8668" w14:textId="77777777" w:rsidR="00505898" w:rsidRDefault="00505898" w:rsidP="00505898">
      <w:pPr>
        <w:rPr>
          <w:rFonts w:asciiTheme="minorHAnsi" w:hAnsiTheme="minorHAnsi" w:cstheme="minorHAnsi"/>
          <w:b/>
          <w:sz w:val="22"/>
          <w:szCs w:val="22"/>
        </w:rPr>
      </w:pPr>
    </w:p>
    <w:p w14:paraId="684D3871" w14:textId="77777777" w:rsidR="00505898" w:rsidRDefault="00505898" w:rsidP="00CE10F3">
      <w:pPr>
        <w:ind w:left="720" w:hanging="720"/>
        <w:rPr>
          <w:rFonts w:asciiTheme="minorHAnsi" w:hAnsiTheme="minorHAnsi" w:cstheme="minorHAnsi"/>
          <w:b/>
          <w:sz w:val="22"/>
          <w:szCs w:val="22"/>
        </w:rPr>
      </w:pPr>
    </w:p>
    <w:p w14:paraId="5637E234" w14:textId="0D8D0611" w:rsidR="00FE7DA1" w:rsidRPr="00567A5A" w:rsidRDefault="00567A5A" w:rsidP="00CE10F3">
      <w:pPr>
        <w:ind w:left="720" w:hanging="720"/>
        <w:rPr>
          <w:rFonts w:asciiTheme="minorHAnsi" w:hAnsiTheme="minorHAnsi" w:cstheme="minorHAnsi"/>
          <w:b/>
          <w:u w:val="single"/>
        </w:rPr>
      </w:pPr>
      <w:r w:rsidRPr="00567A5A">
        <w:rPr>
          <w:rFonts w:asciiTheme="minorHAnsi" w:hAnsiTheme="minorHAnsi" w:cstheme="minorHAnsi"/>
          <w:b/>
          <w:u w:val="single"/>
        </w:rPr>
        <w:t>Target Population</w:t>
      </w:r>
    </w:p>
    <w:p w14:paraId="762E6E53" w14:textId="77777777" w:rsidR="00567A5A" w:rsidRPr="00567A5A" w:rsidRDefault="00567A5A" w:rsidP="00CE10F3">
      <w:pPr>
        <w:ind w:left="720" w:hanging="720"/>
        <w:rPr>
          <w:rFonts w:asciiTheme="minorHAnsi" w:hAnsiTheme="minorHAnsi" w:cstheme="minorHAnsi"/>
          <w:b/>
        </w:rPr>
      </w:pPr>
    </w:p>
    <w:p w14:paraId="4DD51851" w14:textId="77777777" w:rsidR="00BD306C" w:rsidRPr="00BD306C" w:rsidRDefault="00BD306C" w:rsidP="00BD306C">
      <w:pPr>
        <w:ind w:left="720" w:hanging="720"/>
        <w:jc w:val="both"/>
        <w:rPr>
          <w:rFonts w:asciiTheme="minorHAnsi" w:hAnsiTheme="minorHAnsi" w:cstheme="minorHAnsi"/>
          <w:b/>
          <w:color w:val="7030A0"/>
          <w:sz w:val="22"/>
          <w:szCs w:val="22"/>
        </w:rPr>
      </w:pPr>
      <w:r w:rsidRPr="00BD306C">
        <w:rPr>
          <w:rFonts w:asciiTheme="minorHAnsi" w:hAnsiTheme="minorHAnsi" w:cstheme="minorHAnsi"/>
          <w:b/>
          <w:color w:val="7030A0"/>
          <w:sz w:val="22"/>
          <w:szCs w:val="22"/>
        </w:rPr>
        <w:t xml:space="preserve">Q: </w:t>
      </w:r>
      <w:r w:rsidRPr="00BD306C">
        <w:rPr>
          <w:rFonts w:asciiTheme="minorHAnsi" w:hAnsiTheme="minorHAnsi" w:cstheme="minorHAnsi"/>
          <w:b/>
          <w:color w:val="7030A0"/>
          <w:sz w:val="22"/>
          <w:szCs w:val="22"/>
        </w:rPr>
        <w:tab/>
        <w:t>Could this program be used to serve extremely "underemployed" individuals and help them</w:t>
      </w:r>
      <w:r w:rsidRPr="00BD306C">
        <w:rPr>
          <w:rFonts w:asciiTheme="minorHAnsi" w:hAnsiTheme="minorHAnsi" w:cstheme="minorHAnsi"/>
          <w:b/>
          <w:color w:val="7030A0"/>
        </w:rPr>
        <w:t xml:space="preserve"> </w:t>
      </w:r>
      <w:r w:rsidRPr="00BD306C">
        <w:rPr>
          <w:rFonts w:asciiTheme="minorHAnsi" w:hAnsiTheme="minorHAnsi" w:cstheme="minorHAnsi"/>
          <w:b/>
          <w:color w:val="7030A0"/>
          <w:sz w:val="22"/>
          <w:szCs w:val="22"/>
        </w:rPr>
        <w:t>move from minimum wage to real careers?</w:t>
      </w:r>
    </w:p>
    <w:p w14:paraId="0312BE1C" w14:textId="568B0C23" w:rsidR="00BD306C" w:rsidRPr="00BD306C" w:rsidRDefault="00BD306C" w:rsidP="00BD306C">
      <w:pPr>
        <w:ind w:left="720" w:hanging="720"/>
        <w:jc w:val="both"/>
        <w:rPr>
          <w:rFonts w:asciiTheme="minorHAnsi" w:hAnsiTheme="minorHAnsi" w:cstheme="minorHAnsi"/>
          <w:b/>
          <w:color w:val="7030A0"/>
          <w:sz w:val="22"/>
          <w:szCs w:val="22"/>
        </w:rPr>
      </w:pPr>
      <w:r w:rsidRPr="00BD306C">
        <w:rPr>
          <w:rFonts w:asciiTheme="minorHAnsi" w:hAnsiTheme="minorHAnsi" w:cstheme="minorHAnsi"/>
          <w:b/>
          <w:color w:val="7030A0"/>
          <w:sz w:val="22"/>
          <w:szCs w:val="22"/>
        </w:rPr>
        <w:t xml:space="preserve">A: </w:t>
      </w:r>
      <w:r w:rsidRPr="00BD306C">
        <w:rPr>
          <w:rFonts w:asciiTheme="minorHAnsi" w:hAnsiTheme="minorHAnsi" w:cstheme="minorHAnsi"/>
          <w:b/>
          <w:color w:val="7030A0"/>
          <w:sz w:val="22"/>
          <w:szCs w:val="22"/>
        </w:rPr>
        <w:tab/>
        <w:t xml:space="preserve">The target population to be served with this grant is unemployed individuals. A program that serves underemployed individuals does not fit the criteria of the RFP. Please see Section 3A on page 3 of the RFP for additional details regarding the </w:t>
      </w:r>
      <w:r>
        <w:rPr>
          <w:rFonts w:asciiTheme="minorHAnsi" w:hAnsiTheme="minorHAnsi" w:cstheme="minorHAnsi"/>
          <w:b/>
          <w:color w:val="7030A0"/>
          <w:sz w:val="22"/>
          <w:szCs w:val="22"/>
        </w:rPr>
        <w:t xml:space="preserve">required </w:t>
      </w:r>
      <w:r w:rsidRPr="00BD306C">
        <w:rPr>
          <w:rFonts w:asciiTheme="minorHAnsi" w:hAnsiTheme="minorHAnsi" w:cstheme="minorHAnsi"/>
          <w:b/>
          <w:color w:val="7030A0"/>
          <w:sz w:val="22"/>
          <w:szCs w:val="22"/>
        </w:rPr>
        <w:t>target population</w:t>
      </w:r>
      <w:r>
        <w:rPr>
          <w:rFonts w:asciiTheme="minorHAnsi" w:hAnsiTheme="minorHAnsi" w:cstheme="minorHAnsi"/>
          <w:b/>
          <w:color w:val="7030A0"/>
          <w:sz w:val="22"/>
          <w:szCs w:val="22"/>
        </w:rPr>
        <w:t xml:space="preserve"> criteria</w:t>
      </w:r>
      <w:r w:rsidRPr="00BD306C">
        <w:rPr>
          <w:rFonts w:asciiTheme="minorHAnsi" w:hAnsiTheme="minorHAnsi" w:cstheme="minorHAnsi"/>
          <w:b/>
          <w:color w:val="7030A0"/>
          <w:sz w:val="22"/>
          <w:szCs w:val="22"/>
        </w:rPr>
        <w:t xml:space="preserve">. </w:t>
      </w:r>
    </w:p>
    <w:p w14:paraId="1CFDC0AB" w14:textId="77777777" w:rsidR="00BD306C" w:rsidRDefault="00BD306C" w:rsidP="00BD306C">
      <w:pPr>
        <w:jc w:val="both"/>
        <w:rPr>
          <w:rFonts w:ascii="Calibri" w:eastAsia="Times New Roman" w:hAnsi="Calibri" w:cs="Calibri"/>
          <w:b/>
          <w:bCs/>
          <w:color w:val="7030A0"/>
          <w:sz w:val="22"/>
          <w:szCs w:val="22"/>
        </w:rPr>
      </w:pPr>
    </w:p>
    <w:p w14:paraId="56321842" w14:textId="3B71EF7F" w:rsidR="001F11C3" w:rsidRPr="001F11C3" w:rsidRDefault="001F11C3" w:rsidP="00BD306C">
      <w:pPr>
        <w:jc w:val="both"/>
        <w:rPr>
          <w:rFonts w:ascii="Calibri" w:eastAsia="Times New Roman" w:hAnsi="Calibri" w:cs="Calibri"/>
          <w:b/>
          <w:bCs/>
          <w:color w:val="7030A0"/>
          <w:sz w:val="22"/>
          <w:szCs w:val="22"/>
        </w:rPr>
      </w:pPr>
      <w:r w:rsidRPr="001F11C3">
        <w:rPr>
          <w:rFonts w:ascii="Calibri" w:eastAsia="Times New Roman" w:hAnsi="Calibri" w:cs="Calibri"/>
          <w:b/>
          <w:bCs/>
          <w:color w:val="7030A0"/>
          <w:sz w:val="22"/>
          <w:szCs w:val="22"/>
        </w:rPr>
        <w:t>Q:</w:t>
      </w:r>
      <w:r w:rsidRPr="001F11C3">
        <w:rPr>
          <w:rFonts w:ascii="Calibri" w:eastAsia="Times New Roman" w:hAnsi="Calibri" w:cs="Calibri"/>
          <w:b/>
          <w:bCs/>
          <w:color w:val="7030A0"/>
          <w:sz w:val="22"/>
          <w:szCs w:val="22"/>
        </w:rPr>
        <w:tab/>
        <w:t>What types of disabilities do you anticipate the youth will have?</w:t>
      </w:r>
    </w:p>
    <w:p w14:paraId="5AD97A03" w14:textId="77777777" w:rsidR="001F11C3" w:rsidRPr="001F11C3" w:rsidRDefault="001F11C3" w:rsidP="00BD306C">
      <w:pPr>
        <w:ind w:left="720" w:hanging="720"/>
        <w:jc w:val="both"/>
        <w:rPr>
          <w:rFonts w:ascii="Calibri" w:eastAsia="Times New Roman" w:hAnsi="Calibri" w:cs="Calibri"/>
          <w:b/>
          <w:bCs/>
          <w:color w:val="7030A0"/>
          <w:sz w:val="22"/>
          <w:szCs w:val="22"/>
        </w:rPr>
      </w:pPr>
      <w:r w:rsidRPr="001F11C3">
        <w:rPr>
          <w:rFonts w:ascii="Calibri" w:eastAsia="Times New Roman" w:hAnsi="Calibri" w:cs="Calibri"/>
          <w:b/>
          <w:bCs/>
          <w:color w:val="7030A0"/>
          <w:sz w:val="22"/>
          <w:szCs w:val="22"/>
        </w:rPr>
        <w:t>A:</w:t>
      </w:r>
      <w:r w:rsidRPr="001F11C3">
        <w:rPr>
          <w:rFonts w:ascii="Calibri" w:eastAsia="Times New Roman" w:hAnsi="Calibri" w:cs="Calibri"/>
          <w:b/>
          <w:bCs/>
          <w:color w:val="7030A0"/>
          <w:sz w:val="22"/>
          <w:szCs w:val="22"/>
        </w:rPr>
        <w:tab/>
        <w:t xml:space="preserve">There are no restrictions on the types of disabilities participants served through this funding will have. A non-exhaustive list of disability categories may include cognitive, physical, psycho-social, autism spectrum, deaf/hearing loss, blind, etc. </w:t>
      </w:r>
    </w:p>
    <w:p w14:paraId="2980F244" w14:textId="4FBB4E64" w:rsidR="00567A5A" w:rsidRDefault="00567A5A" w:rsidP="00567A5A">
      <w:pPr>
        <w:rPr>
          <w:rFonts w:asciiTheme="minorHAnsi" w:hAnsiTheme="minorHAnsi" w:cstheme="minorHAnsi"/>
          <w:b/>
          <w:bCs/>
          <w:color w:val="7030A0"/>
        </w:rPr>
      </w:pPr>
    </w:p>
    <w:p w14:paraId="5CDB96B7" w14:textId="77777777" w:rsidR="00505898" w:rsidRDefault="00505898" w:rsidP="00567A5A">
      <w:pPr>
        <w:rPr>
          <w:rFonts w:asciiTheme="minorHAnsi" w:hAnsiTheme="minorHAnsi" w:cstheme="minorHAnsi"/>
          <w:b/>
          <w:u w:val="single"/>
        </w:rPr>
      </w:pPr>
    </w:p>
    <w:p w14:paraId="45012DEA" w14:textId="77777777" w:rsidR="008A1427" w:rsidRDefault="008A1427" w:rsidP="00CE10F3">
      <w:pPr>
        <w:ind w:left="720" w:hanging="720"/>
        <w:rPr>
          <w:rFonts w:asciiTheme="minorHAnsi" w:hAnsiTheme="minorHAnsi" w:cstheme="minorHAnsi"/>
          <w:b/>
          <w:u w:val="single"/>
        </w:rPr>
      </w:pPr>
    </w:p>
    <w:p w14:paraId="39C9B2BC" w14:textId="77777777" w:rsidR="008A1427" w:rsidRDefault="008A1427" w:rsidP="00CE10F3">
      <w:pPr>
        <w:ind w:left="720" w:hanging="720"/>
        <w:rPr>
          <w:rFonts w:asciiTheme="minorHAnsi" w:hAnsiTheme="minorHAnsi" w:cstheme="minorHAnsi"/>
          <w:b/>
          <w:u w:val="single"/>
        </w:rPr>
      </w:pPr>
    </w:p>
    <w:p w14:paraId="2436F0D0" w14:textId="77777777" w:rsidR="008A1427" w:rsidRDefault="008A1427" w:rsidP="00CE10F3">
      <w:pPr>
        <w:ind w:left="720" w:hanging="720"/>
        <w:rPr>
          <w:rFonts w:asciiTheme="minorHAnsi" w:hAnsiTheme="minorHAnsi" w:cstheme="minorHAnsi"/>
          <w:b/>
          <w:u w:val="single"/>
        </w:rPr>
      </w:pPr>
    </w:p>
    <w:p w14:paraId="0F0B3A89" w14:textId="77777777" w:rsidR="008A1427" w:rsidRDefault="008A1427" w:rsidP="00CE10F3">
      <w:pPr>
        <w:ind w:left="720" w:hanging="720"/>
        <w:rPr>
          <w:rFonts w:asciiTheme="minorHAnsi" w:hAnsiTheme="minorHAnsi" w:cstheme="minorHAnsi"/>
          <w:b/>
          <w:u w:val="single"/>
        </w:rPr>
      </w:pPr>
    </w:p>
    <w:p w14:paraId="4639884A" w14:textId="77777777" w:rsidR="008A1427" w:rsidRDefault="008A1427" w:rsidP="00CE10F3">
      <w:pPr>
        <w:ind w:left="720" w:hanging="720"/>
        <w:rPr>
          <w:rFonts w:asciiTheme="minorHAnsi" w:hAnsiTheme="minorHAnsi" w:cstheme="minorHAnsi"/>
          <w:b/>
          <w:u w:val="single"/>
        </w:rPr>
      </w:pPr>
    </w:p>
    <w:p w14:paraId="14F4A40C" w14:textId="77777777" w:rsidR="008A1427" w:rsidRDefault="008A1427" w:rsidP="00CE10F3">
      <w:pPr>
        <w:ind w:left="720" w:hanging="720"/>
        <w:rPr>
          <w:rFonts w:asciiTheme="minorHAnsi" w:hAnsiTheme="minorHAnsi" w:cstheme="minorHAnsi"/>
          <w:b/>
          <w:u w:val="single"/>
        </w:rPr>
      </w:pPr>
    </w:p>
    <w:p w14:paraId="48DE0E55" w14:textId="0846121E" w:rsidR="00CE10F3" w:rsidRPr="00FE7DA1" w:rsidRDefault="00086DCB" w:rsidP="00CE10F3">
      <w:pPr>
        <w:ind w:left="720" w:hanging="720"/>
        <w:rPr>
          <w:rFonts w:asciiTheme="minorHAnsi" w:hAnsiTheme="minorHAnsi" w:cstheme="minorHAnsi"/>
          <w:b/>
          <w:u w:val="single"/>
        </w:rPr>
      </w:pPr>
      <w:r w:rsidRPr="00FE7DA1">
        <w:rPr>
          <w:rFonts w:asciiTheme="minorHAnsi" w:hAnsiTheme="minorHAnsi" w:cstheme="minorHAnsi"/>
          <w:b/>
          <w:u w:val="single"/>
        </w:rPr>
        <w:t>Funding Availability and Grant Award</w:t>
      </w:r>
    </w:p>
    <w:p w14:paraId="6E015F17" w14:textId="77777777" w:rsidR="00086DCB" w:rsidRPr="00635C9A" w:rsidRDefault="00086DCB" w:rsidP="00CE10F3">
      <w:pPr>
        <w:ind w:left="720" w:hanging="720"/>
        <w:rPr>
          <w:rFonts w:asciiTheme="minorHAnsi" w:hAnsiTheme="minorHAnsi" w:cstheme="minorHAnsi"/>
          <w:b/>
          <w:sz w:val="22"/>
          <w:szCs w:val="22"/>
        </w:rPr>
      </w:pPr>
    </w:p>
    <w:p w14:paraId="2F926B58" w14:textId="77777777" w:rsidR="00BD306C" w:rsidRPr="00BD306C" w:rsidRDefault="00BD306C" w:rsidP="00BD306C">
      <w:pPr>
        <w:ind w:left="720" w:hanging="720"/>
        <w:jc w:val="both"/>
        <w:rPr>
          <w:rFonts w:ascii="Calibri" w:eastAsia="Times New Roman" w:hAnsi="Calibri" w:cs="Calibri"/>
          <w:b/>
          <w:bCs/>
          <w:color w:val="7030A0"/>
          <w:sz w:val="22"/>
          <w:szCs w:val="22"/>
        </w:rPr>
      </w:pPr>
      <w:r w:rsidRPr="00BD306C">
        <w:rPr>
          <w:rFonts w:ascii="Calibri" w:eastAsia="Times New Roman" w:hAnsi="Calibri" w:cs="Calibri"/>
          <w:b/>
          <w:bCs/>
          <w:color w:val="7030A0"/>
          <w:sz w:val="22"/>
          <w:szCs w:val="22"/>
        </w:rPr>
        <w:t xml:space="preserve">Q: </w:t>
      </w:r>
      <w:r w:rsidRPr="00BD306C">
        <w:rPr>
          <w:rFonts w:ascii="Calibri" w:eastAsia="Times New Roman" w:hAnsi="Calibri" w:cs="Calibri"/>
          <w:b/>
          <w:bCs/>
          <w:color w:val="7030A0"/>
          <w:sz w:val="22"/>
          <w:szCs w:val="22"/>
        </w:rPr>
        <w:tab/>
        <w:t xml:space="preserve">In considering this funding, we know from previous experiences with workplace development programs, our cohort of participants would be relatively small. We anticipate serving between eight and ten individuals through this funding. We wondered if that size cohort would be okay or if the client numbers </w:t>
      </w:r>
      <w:proofErr w:type="gramStart"/>
      <w:r w:rsidRPr="00BD306C">
        <w:rPr>
          <w:rFonts w:ascii="Calibri" w:eastAsia="Times New Roman" w:hAnsi="Calibri" w:cs="Calibri"/>
          <w:b/>
          <w:bCs/>
          <w:color w:val="7030A0"/>
          <w:sz w:val="22"/>
          <w:szCs w:val="22"/>
        </w:rPr>
        <w:t>have to</w:t>
      </w:r>
      <w:proofErr w:type="gramEnd"/>
      <w:r w:rsidRPr="00BD306C">
        <w:rPr>
          <w:rFonts w:ascii="Calibri" w:eastAsia="Times New Roman" w:hAnsi="Calibri" w:cs="Calibri"/>
          <w:b/>
          <w:bCs/>
          <w:color w:val="7030A0"/>
          <w:sz w:val="22"/>
          <w:szCs w:val="22"/>
        </w:rPr>
        <w:t xml:space="preserve"> be higher.</w:t>
      </w:r>
    </w:p>
    <w:p w14:paraId="1F2CE0A5" w14:textId="77777777" w:rsidR="00BD306C" w:rsidRPr="00BD306C" w:rsidRDefault="00BD306C" w:rsidP="00BD306C">
      <w:pPr>
        <w:jc w:val="both"/>
        <w:rPr>
          <w:rFonts w:ascii="Calibri" w:eastAsia="Times New Roman" w:hAnsi="Calibri" w:cs="Calibri"/>
          <w:b/>
          <w:bCs/>
          <w:color w:val="7030A0"/>
          <w:sz w:val="22"/>
          <w:szCs w:val="22"/>
        </w:rPr>
      </w:pPr>
      <w:r w:rsidRPr="00BD306C">
        <w:rPr>
          <w:rFonts w:ascii="Calibri" w:eastAsia="Times New Roman" w:hAnsi="Calibri" w:cs="Calibri"/>
          <w:b/>
          <w:bCs/>
          <w:color w:val="7030A0"/>
          <w:sz w:val="22"/>
          <w:szCs w:val="22"/>
        </w:rPr>
        <w:t xml:space="preserve">A: </w:t>
      </w:r>
      <w:r w:rsidRPr="00BD306C">
        <w:rPr>
          <w:rFonts w:ascii="Calibri" w:eastAsia="Times New Roman" w:hAnsi="Calibri" w:cs="Calibri"/>
          <w:b/>
          <w:bCs/>
          <w:color w:val="7030A0"/>
          <w:sz w:val="22"/>
          <w:szCs w:val="22"/>
        </w:rPr>
        <w:tab/>
        <w:t xml:space="preserve">There is no minimum number of participants in a cohort. </w:t>
      </w:r>
    </w:p>
    <w:p w14:paraId="6FB4521D" w14:textId="77777777" w:rsidR="00752CFB" w:rsidRPr="00CE10F3" w:rsidRDefault="00752CFB" w:rsidP="00CE10F3">
      <w:pPr>
        <w:rPr>
          <w:rFonts w:asciiTheme="minorHAnsi" w:hAnsiTheme="minorHAnsi" w:cstheme="minorHAnsi"/>
          <w:b/>
          <w:sz w:val="22"/>
          <w:szCs w:val="22"/>
        </w:rPr>
      </w:pPr>
    </w:p>
    <w:p w14:paraId="2E3DDC58" w14:textId="77777777" w:rsidR="008A1427" w:rsidRPr="008A1427" w:rsidRDefault="008A1427" w:rsidP="008A1427">
      <w:pPr>
        <w:ind w:left="720" w:hanging="720"/>
        <w:jc w:val="both"/>
        <w:rPr>
          <w:rFonts w:ascii="Calibri" w:eastAsia="Times New Roman" w:hAnsi="Calibri" w:cs="Calibri"/>
          <w:b/>
          <w:bCs/>
          <w:color w:val="7030A0"/>
          <w:sz w:val="22"/>
          <w:szCs w:val="22"/>
        </w:rPr>
      </w:pPr>
      <w:r w:rsidRPr="008A1427">
        <w:rPr>
          <w:rFonts w:ascii="Calibri" w:eastAsia="Times New Roman" w:hAnsi="Calibri" w:cs="Calibri"/>
          <w:b/>
          <w:bCs/>
          <w:color w:val="7030A0"/>
          <w:sz w:val="22"/>
          <w:szCs w:val="22"/>
        </w:rPr>
        <w:t xml:space="preserve">Q: </w:t>
      </w:r>
      <w:r w:rsidRPr="008A1427">
        <w:rPr>
          <w:rFonts w:ascii="Calibri" w:eastAsia="Times New Roman" w:hAnsi="Calibri" w:cs="Calibri"/>
          <w:b/>
          <w:bCs/>
          <w:color w:val="7030A0"/>
          <w:sz w:val="22"/>
          <w:szCs w:val="22"/>
        </w:rPr>
        <w:tab/>
        <w:t xml:space="preserve">We have </w:t>
      </w:r>
      <w:proofErr w:type="gramStart"/>
      <w:r w:rsidRPr="008A1427">
        <w:rPr>
          <w:rFonts w:ascii="Calibri" w:eastAsia="Times New Roman" w:hAnsi="Calibri" w:cs="Calibri"/>
          <w:b/>
          <w:bCs/>
          <w:color w:val="7030A0"/>
          <w:sz w:val="22"/>
          <w:szCs w:val="22"/>
        </w:rPr>
        <w:t>a number of</w:t>
      </w:r>
      <w:proofErr w:type="gramEnd"/>
      <w:r w:rsidRPr="008A1427">
        <w:rPr>
          <w:rFonts w:ascii="Calibri" w:eastAsia="Times New Roman" w:hAnsi="Calibri" w:cs="Calibri"/>
          <w:b/>
          <w:bCs/>
          <w:color w:val="7030A0"/>
          <w:sz w:val="22"/>
          <w:szCs w:val="22"/>
        </w:rPr>
        <w:t xml:space="preserve"> private sector partners who do provide opportunities for our clients. However, because of COVID, some of the national corporations have still not been able to have our clients back in their offices. We also feel that we need to be mindful of developing successful outcomes and therefore, would like to take the time between now and next year to plan for this initiative. I assume a planning grant through this funding would not be possible as our program would not begin until July and August of 2022. We wondered if you might have ideas of other public/private funders who we might apply to for those planning resources. </w:t>
      </w:r>
    </w:p>
    <w:p w14:paraId="163ADBF6" w14:textId="77777777" w:rsidR="008A1427" w:rsidRPr="00940903" w:rsidRDefault="008A1427" w:rsidP="008A1427">
      <w:pPr>
        <w:ind w:left="720" w:hanging="720"/>
        <w:jc w:val="both"/>
        <w:rPr>
          <w:rFonts w:ascii="Calibri" w:eastAsia="Times New Roman" w:hAnsi="Calibri" w:cs="Calibri"/>
          <w:sz w:val="22"/>
          <w:szCs w:val="22"/>
        </w:rPr>
      </w:pPr>
      <w:r w:rsidRPr="008A1427">
        <w:rPr>
          <w:rFonts w:ascii="Calibri" w:eastAsia="Times New Roman" w:hAnsi="Calibri" w:cs="Calibri"/>
          <w:b/>
          <w:bCs/>
          <w:color w:val="7030A0"/>
          <w:sz w:val="22"/>
          <w:szCs w:val="22"/>
        </w:rPr>
        <w:t xml:space="preserve">A: </w:t>
      </w:r>
      <w:r w:rsidRPr="008A1427">
        <w:rPr>
          <w:rFonts w:ascii="Calibri" w:eastAsia="Times New Roman" w:hAnsi="Calibri" w:cs="Calibri"/>
          <w:b/>
          <w:bCs/>
          <w:color w:val="7030A0"/>
          <w:sz w:val="22"/>
          <w:szCs w:val="22"/>
        </w:rPr>
        <w:tab/>
        <w:t>At this time,</w:t>
      </w:r>
      <w:r w:rsidRPr="008A1427">
        <w:rPr>
          <w:rFonts w:ascii="Calibri" w:eastAsia="Times New Roman" w:hAnsi="Calibri" w:cs="Calibri"/>
          <w:color w:val="7030A0"/>
          <w:sz w:val="22"/>
          <w:szCs w:val="22"/>
        </w:rPr>
        <w:t xml:space="preserve"> </w:t>
      </w:r>
      <w:r w:rsidRPr="00BD306C">
        <w:rPr>
          <w:rFonts w:asciiTheme="minorHAnsi" w:hAnsiTheme="minorHAnsi" w:cstheme="minorHAnsi"/>
          <w:b/>
          <w:color w:val="7030A0"/>
          <w:sz w:val="22"/>
          <w:szCs w:val="22"/>
        </w:rPr>
        <w:t>the Employment Program for Young Adults with Disabilitie</w:t>
      </w:r>
      <w:r>
        <w:rPr>
          <w:rFonts w:asciiTheme="minorHAnsi" w:hAnsiTheme="minorHAnsi" w:cstheme="minorHAnsi"/>
          <w:b/>
          <w:color w:val="7030A0"/>
          <w:sz w:val="22"/>
          <w:szCs w:val="22"/>
        </w:rPr>
        <w:t xml:space="preserve">s does not offer planning grants through this funding. For potential applicants interested in future funding opportunities, we encourage you to contact your </w:t>
      </w:r>
      <w:hyperlink r:id="rId8" w:history="1">
        <w:r w:rsidRPr="008A1427">
          <w:rPr>
            <w:rStyle w:val="Hyperlink"/>
            <w:rFonts w:asciiTheme="minorHAnsi" w:hAnsiTheme="minorHAnsi" w:cstheme="minorHAnsi"/>
            <w:b/>
            <w:sz w:val="22"/>
            <w:szCs w:val="22"/>
          </w:rPr>
          <w:t>local workforce board</w:t>
        </w:r>
      </w:hyperlink>
      <w:r>
        <w:rPr>
          <w:rFonts w:asciiTheme="minorHAnsi" w:hAnsiTheme="minorHAnsi" w:cstheme="minorHAnsi"/>
          <w:b/>
          <w:color w:val="7030A0"/>
          <w:sz w:val="22"/>
          <w:szCs w:val="22"/>
        </w:rPr>
        <w:t xml:space="preserve"> and the Statewide Employment Services team </w:t>
      </w:r>
      <w:hyperlink r:id="rId9" w:history="1">
        <w:r w:rsidRPr="008A1427">
          <w:rPr>
            <w:rStyle w:val="Hyperlink"/>
            <w:rFonts w:asciiTheme="minorHAnsi" w:hAnsiTheme="minorHAnsi" w:cstheme="minorHAnsi"/>
            <w:b/>
            <w:sz w:val="22"/>
            <w:szCs w:val="22"/>
          </w:rPr>
          <w:t>at MRC</w:t>
        </w:r>
      </w:hyperlink>
      <w:r>
        <w:rPr>
          <w:rFonts w:asciiTheme="minorHAnsi" w:hAnsiTheme="minorHAnsi" w:cstheme="minorHAnsi"/>
          <w:b/>
          <w:color w:val="7030A0"/>
          <w:sz w:val="22"/>
          <w:szCs w:val="22"/>
        </w:rPr>
        <w:t xml:space="preserve">, and you will also be informed of future funding opportunities through the Commonwealth Corporation </w:t>
      </w:r>
      <w:hyperlink r:id="rId10" w:history="1">
        <w:r w:rsidRPr="008A1427">
          <w:rPr>
            <w:rStyle w:val="Hyperlink"/>
            <w:rFonts w:asciiTheme="minorHAnsi" w:hAnsiTheme="minorHAnsi" w:cstheme="minorHAnsi"/>
            <w:b/>
            <w:sz w:val="22"/>
            <w:szCs w:val="22"/>
          </w:rPr>
          <w:t>available funding page</w:t>
        </w:r>
      </w:hyperlink>
      <w:r>
        <w:rPr>
          <w:rFonts w:asciiTheme="minorHAnsi" w:hAnsiTheme="minorHAnsi" w:cstheme="minorHAnsi"/>
          <w:b/>
          <w:color w:val="7030A0"/>
          <w:sz w:val="22"/>
          <w:szCs w:val="22"/>
        </w:rPr>
        <w:t>.</w:t>
      </w:r>
    </w:p>
    <w:p w14:paraId="4543AA27" w14:textId="4FE3804B" w:rsidR="00F83E8E" w:rsidRDefault="00F83E8E" w:rsidP="00F83E8E">
      <w:pPr>
        <w:rPr>
          <w:rFonts w:asciiTheme="minorHAnsi" w:hAnsiTheme="minorHAnsi" w:cstheme="minorHAnsi"/>
          <w:sz w:val="22"/>
          <w:szCs w:val="22"/>
        </w:rPr>
      </w:pPr>
    </w:p>
    <w:p w14:paraId="65BDAD30" w14:textId="77777777" w:rsidR="00F83E8E" w:rsidRPr="00635C9A" w:rsidRDefault="00F83E8E" w:rsidP="00F83E8E">
      <w:pPr>
        <w:rPr>
          <w:rFonts w:asciiTheme="minorHAnsi" w:hAnsiTheme="minorHAnsi" w:cstheme="minorHAnsi"/>
          <w:sz w:val="22"/>
          <w:szCs w:val="22"/>
        </w:rPr>
      </w:pPr>
    </w:p>
    <w:sectPr w:rsidR="00F83E8E" w:rsidRPr="00635C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C4FEB" w14:textId="77777777" w:rsidR="00940903" w:rsidRDefault="00940903" w:rsidP="00940903">
      <w:r>
        <w:separator/>
      </w:r>
    </w:p>
  </w:endnote>
  <w:endnote w:type="continuationSeparator" w:id="0">
    <w:p w14:paraId="4F073316" w14:textId="77777777" w:rsidR="00940903" w:rsidRDefault="00940903" w:rsidP="00940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F43AC" w14:textId="77777777" w:rsidR="00940903" w:rsidRDefault="00940903" w:rsidP="00940903">
      <w:r>
        <w:separator/>
      </w:r>
    </w:p>
  </w:footnote>
  <w:footnote w:type="continuationSeparator" w:id="0">
    <w:p w14:paraId="014D13FC" w14:textId="77777777" w:rsidR="00940903" w:rsidRDefault="00940903" w:rsidP="009409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05B9E"/>
    <w:multiLevelType w:val="hybridMultilevel"/>
    <w:tmpl w:val="0FC2E2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737FFB"/>
    <w:multiLevelType w:val="hybridMultilevel"/>
    <w:tmpl w:val="4FDC0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323FFD"/>
    <w:multiLevelType w:val="hybridMultilevel"/>
    <w:tmpl w:val="7902A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A785F84"/>
    <w:multiLevelType w:val="hybridMultilevel"/>
    <w:tmpl w:val="B2BEBEF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63310A0B"/>
    <w:multiLevelType w:val="hybridMultilevel"/>
    <w:tmpl w:val="4E92CB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C5244B0"/>
    <w:multiLevelType w:val="hybridMultilevel"/>
    <w:tmpl w:val="250EF188"/>
    <w:lvl w:ilvl="0" w:tplc="AF08645C">
      <w:start w:val="1"/>
      <w:numFmt w:val="upperLetter"/>
      <w:lvlText w:val="%1."/>
      <w:lvlJc w:val="left"/>
      <w:pPr>
        <w:tabs>
          <w:tab w:val="num" w:pos="360"/>
        </w:tabs>
        <w:ind w:left="360" w:hanging="360"/>
      </w:pPr>
      <w:rPr>
        <w:rFonts w:ascii="Calibri" w:eastAsia="Calibri" w:hAnsi="Calibri" w:cs="Calibri"/>
        <w:b/>
        <w:i/>
        <w:sz w:val="22"/>
        <w:szCs w:val="22"/>
      </w:rPr>
    </w:lvl>
    <w:lvl w:ilvl="1" w:tplc="04090001">
      <w:numFmt w:val="decimal"/>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7AFE2D0A"/>
    <w:multiLevelType w:val="hybridMultilevel"/>
    <w:tmpl w:val="3BB4DEAC"/>
    <w:lvl w:ilvl="0" w:tplc="2D8A7B68">
      <w:start w:val="1"/>
      <w:numFmt w:val="upperLetter"/>
      <w:lvlText w:val="%1."/>
      <w:lvlJc w:val="left"/>
      <w:pPr>
        <w:tabs>
          <w:tab w:val="num" w:pos="360"/>
        </w:tabs>
        <w:ind w:left="360" w:hanging="360"/>
      </w:pPr>
      <w:rPr>
        <w:rFonts w:hint="default"/>
        <w:b/>
        <w:i w:val="0"/>
        <w:sz w:val="22"/>
        <w:szCs w:val="22"/>
      </w:rPr>
    </w:lvl>
    <w:lvl w:ilvl="1" w:tplc="CDB068A0">
      <w:start w:val="1"/>
      <w:numFmt w:val="decimal"/>
      <w:lvlText w:val="%2."/>
      <w:lvlJc w:val="left"/>
      <w:pPr>
        <w:tabs>
          <w:tab w:val="num" w:pos="1080"/>
        </w:tabs>
        <w:ind w:left="1080" w:hanging="360"/>
      </w:pPr>
      <w:rPr>
        <w:rFonts w:hint="default"/>
        <w:b w:val="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
  </w:num>
  <w:num w:numId="6">
    <w:abstractNumId w:val="6"/>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DCF"/>
    <w:rsid w:val="00086DCB"/>
    <w:rsid w:val="001A62AF"/>
    <w:rsid w:val="001F11C3"/>
    <w:rsid w:val="00201938"/>
    <w:rsid w:val="00396040"/>
    <w:rsid w:val="00480A6E"/>
    <w:rsid w:val="004C76B3"/>
    <w:rsid w:val="00505898"/>
    <w:rsid w:val="00567A5A"/>
    <w:rsid w:val="00575378"/>
    <w:rsid w:val="005C2687"/>
    <w:rsid w:val="00635C9A"/>
    <w:rsid w:val="00752CFB"/>
    <w:rsid w:val="0079792E"/>
    <w:rsid w:val="008A1427"/>
    <w:rsid w:val="00940903"/>
    <w:rsid w:val="00966B39"/>
    <w:rsid w:val="009E3AD6"/>
    <w:rsid w:val="00A96C92"/>
    <w:rsid w:val="00AF5A71"/>
    <w:rsid w:val="00B64AEB"/>
    <w:rsid w:val="00B86F21"/>
    <w:rsid w:val="00BD306C"/>
    <w:rsid w:val="00BE7607"/>
    <w:rsid w:val="00BF6202"/>
    <w:rsid w:val="00BF67D5"/>
    <w:rsid w:val="00C65844"/>
    <w:rsid w:val="00CA7197"/>
    <w:rsid w:val="00CB6726"/>
    <w:rsid w:val="00CE10F3"/>
    <w:rsid w:val="00EA4DCF"/>
    <w:rsid w:val="00F36EE9"/>
    <w:rsid w:val="00F83E8E"/>
    <w:rsid w:val="00FE116A"/>
    <w:rsid w:val="00FE7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909FC"/>
  <w15:chartTrackingRefBased/>
  <w15:docId w15:val="{CC084593-AA54-4FAD-91D2-12DBD4DC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DC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CA7197"/>
    <w:rPr>
      <w:lang w:eastAsia="fr-FR"/>
    </w:rPr>
  </w:style>
  <w:style w:type="character" w:customStyle="1" w:styleId="CommentTextChar">
    <w:name w:val="Comment Text Char"/>
    <w:basedOn w:val="DefaultParagraphFont"/>
    <w:link w:val="CommentText"/>
    <w:rsid w:val="00CA7197"/>
    <w:rPr>
      <w:lang w:eastAsia="fr-FR"/>
    </w:rPr>
  </w:style>
  <w:style w:type="paragraph" w:styleId="ListParagraph">
    <w:name w:val="List Paragraph"/>
    <w:basedOn w:val="Normal"/>
    <w:link w:val="ListParagraphChar"/>
    <w:uiPriority w:val="34"/>
    <w:qFormat/>
    <w:rsid w:val="00EA4DCF"/>
    <w:pPr>
      <w:ind w:left="720"/>
    </w:pPr>
    <w:rPr>
      <w:rFonts w:ascii="Calibri" w:hAnsi="Calibri" w:cs="Calibri"/>
      <w:sz w:val="22"/>
      <w:szCs w:val="22"/>
    </w:rPr>
  </w:style>
  <w:style w:type="character" w:styleId="Hyperlink">
    <w:name w:val="Hyperlink"/>
    <w:basedOn w:val="DefaultParagraphFont"/>
    <w:uiPriority w:val="99"/>
    <w:unhideWhenUsed/>
    <w:rsid w:val="00EA4DCF"/>
    <w:rPr>
      <w:color w:val="0000FF"/>
      <w:u w:val="single"/>
    </w:rPr>
  </w:style>
  <w:style w:type="paragraph" w:styleId="PlainText">
    <w:name w:val="Plain Text"/>
    <w:basedOn w:val="Normal"/>
    <w:link w:val="PlainTextChar"/>
    <w:uiPriority w:val="99"/>
    <w:semiHidden/>
    <w:unhideWhenUsed/>
    <w:rsid w:val="009E3AD6"/>
    <w:rPr>
      <w:rFonts w:ascii="Calibri" w:hAnsi="Calibri" w:cstheme="minorBidi"/>
      <w:sz w:val="22"/>
      <w:szCs w:val="21"/>
    </w:rPr>
  </w:style>
  <w:style w:type="character" w:customStyle="1" w:styleId="PlainTextChar">
    <w:name w:val="Plain Text Char"/>
    <w:basedOn w:val="DefaultParagraphFont"/>
    <w:link w:val="PlainText"/>
    <w:uiPriority w:val="99"/>
    <w:semiHidden/>
    <w:rsid w:val="009E3AD6"/>
    <w:rPr>
      <w:rFonts w:ascii="Calibri" w:hAnsi="Calibri"/>
      <w:szCs w:val="21"/>
    </w:rPr>
  </w:style>
  <w:style w:type="paragraph" w:styleId="NormalWeb">
    <w:name w:val="Normal (Web)"/>
    <w:basedOn w:val="Normal"/>
    <w:uiPriority w:val="99"/>
    <w:semiHidden/>
    <w:unhideWhenUsed/>
    <w:rsid w:val="00575378"/>
  </w:style>
  <w:style w:type="character" w:styleId="UnresolvedMention">
    <w:name w:val="Unresolved Mention"/>
    <w:basedOn w:val="DefaultParagraphFont"/>
    <w:uiPriority w:val="99"/>
    <w:semiHidden/>
    <w:unhideWhenUsed/>
    <w:rsid w:val="00F83E8E"/>
    <w:rPr>
      <w:color w:val="605E5C"/>
      <w:shd w:val="clear" w:color="auto" w:fill="E1DFDD"/>
    </w:rPr>
  </w:style>
  <w:style w:type="character" w:styleId="Strong">
    <w:name w:val="Strong"/>
    <w:basedOn w:val="DefaultParagraphFont"/>
    <w:uiPriority w:val="22"/>
    <w:qFormat/>
    <w:rsid w:val="00505898"/>
    <w:rPr>
      <w:rFonts w:cs="Times New Roman"/>
      <w:b/>
      <w:bCs/>
    </w:rPr>
  </w:style>
  <w:style w:type="paragraph" w:styleId="FootnoteText">
    <w:name w:val="footnote text"/>
    <w:basedOn w:val="Normal"/>
    <w:link w:val="FootnoteTextChar"/>
    <w:uiPriority w:val="99"/>
    <w:rsid w:val="00940903"/>
    <w:rPr>
      <w:rFonts w:ascii="Calibri" w:eastAsia="Calibri" w:hAnsi="Calibri"/>
      <w:sz w:val="20"/>
      <w:szCs w:val="20"/>
    </w:rPr>
  </w:style>
  <w:style w:type="character" w:customStyle="1" w:styleId="FootnoteTextChar">
    <w:name w:val="Footnote Text Char"/>
    <w:basedOn w:val="DefaultParagraphFont"/>
    <w:link w:val="FootnoteText"/>
    <w:uiPriority w:val="99"/>
    <w:rsid w:val="00940903"/>
    <w:rPr>
      <w:rFonts w:ascii="Calibri" w:eastAsia="Calibri" w:hAnsi="Calibri" w:cs="Times New Roman"/>
      <w:sz w:val="20"/>
      <w:szCs w:val="20"/>
    </w:rPr>
  </w:style>
  <w:style w:type="character" w:styleId="FootnoteReference">
    <w:name w:val="footnote reference"/>
    <w:uiPriority w:val="99"/>
    <w:rsid w:val="00940903"/>
    <w:rPr>
      <w:vertAlign w:val="superscript"/>
    </w:rPr>
  </w:style>
  <w:style w:type="character" w:customStyle="1" w:styleId="ListParagraphChar">
    <w:name w:val="List Paragraph Char"/>
    <w:link w:val="ListParagraph"/>
    <w:uiPriority w:val="34"/>
    <w:locked/>
    <w:rsid w:val="00BD306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702885">
      <w:bodyDiv w:val="1"/>
      <w:marLeft w:val="0"/>
      <w:marRight w:val="0"/>
      <w:marTop w:val="0"/>
      <w:marBottom w:val="0"/>
      <w:divBdr>
        <w:top w:val="none" w:sz="0" w:space="0" w:color="auto"/>
        <w:left w:val="none" w:sz="0" w:space="0" w:color="auto"/>
        <w:bottom w:val="none" w:sz="0" w:space="0" w:color="auto"/>
        <w:right w:val="none" w:sz="0" w:space="0" w:color="auto"/>
      </w:divBdr>
    </w:div>
    <w:div w:id="822158233">
      <w:bodyDiv w:val="1"/>
      <w:marLeft w:val="0"/>
      <w:marRight w:val="0"/>
      <w:marTop w:val="0"/>
      <w:marBottom w:val="0"/>
      <w:divBdr>
        <w:top w:val="none" w:sz="0" w:space="0" w:color="auto"/>
        <w:left w:val="none" w:sz="0" w:space="0" w:color="auto"/>
        <w:bottom w:val="none" w:sz="0" w:space="0" w:color="auto"/>
        <w:right w:val="none" w:sz="0" w:space="0" w:color="auto"/>
      </w:divBdr>
    </w:div>
    <w:div w:id="1294945098">
      <w:bodyDiv w:val="1"/>
      <w:marLeft w:val="0"/>
      <w:marRight w:val="0"/>
      <w:marTop w:val="0"/>
      <w:marBottom w:val="0"/>
      <w:divBdr>
        <w:top w:val="none" w:sz="0" w:space="0" w:color="auto"/>
        <w:left w:val="none" w:sz="0" w:space="0" w:color="auto"/>
        <w:bottom w:val="none" w:sz="0" w:space="0" w:color="auto"/>
        <w:right w:val="none" w:sz="0" w:space="0" w:color="auto"/>
      </w:divBdr>
    </w:div>
    <w:div w:id="1580477595">
      <w:bodyDiv w:val="1"/>
      <w:marLeft w:val="0"/>
      <w:marRight w:val="0"/>
      <w:marTop w:val="0"/>
      <w:marBottom w:val="0"/>
      <w:divBdr>
        <w:top w:val="none" w:sz="0" w:space="0" w:color="auto"/>
        <w:left w:val="none" w:sz="0" w:space="0" w:color="auto"/>
        <w:bottom w:val="none" w:sz="0" w:space="0" w:color="auto"/>
        <w:right w:val="none" w:sz="0" w:space="0" w:color="auto"/>
      </w:divBdr>
    </w:div>
    <w:div w:id="1760054128">
      <w:bodyDiv w:val="1"/>
      <w:marLeft w:val="0"/>
      <w:marRight w:val="0"/>
      <w:marTop w:val="0"/>
      <w:marBottom w:val="0"/>
      <w:divBdr>
        <w:top w:val="none" w:sz="0" w:space="0" w:color="auto"/>
        <w:left w:val="none" w:sz="0" w:space="0" w:color="auto"/>
        <w:bottom w:val="none" w:sz="0" w:space="0" w:color="auto"/>
        <w:right w:val="none" w:sz="0" w:space="0" w:color="auto"/>
      </w:divBdr>
    </w:div>
    <w:div w:id="1779640358">
      <w:bodyDiv w:val="1"/>
      <w:marLeft w:val="0"/>
      <w:marRight w:val="0"/>
      <w:marTop w:val="0"/>
      <w:marBottom w:val="0"/>
      <w:divBdr>
        <w:top w:val="none" w:sz="0" w:space="0" w:color="auto"/>
        <w:left w:val="none" w:sz="0" w:space="0" w:color="auto"/>
        <w:bottom w:val="none" w:sz="0" w:space="0" w:color="auto"/>
        <w:right w:val="none" w:sz="0" w:space="0" w:color="auto"/>
      </w:divBdr>
    </w:div>
    <w:div w:id="1936011696">
      <w:bodyDiv w:val="1"/>
      <w:marLeft w:val="0"/>
      <w:marRight w:val="0"/>
      <w:marTop w:val="0"/>
      <w:marBottom w:val="0"/>
      <w:divBdr>
        <w:top w:val="none" w:sz="0" w:space="0" w:color="auto"/>
        <w:left w:val="none" w:sz="0" w:space="0" w:color="auto"/>
        <w:bottom w:val="none" w:sz="0" w:space="0" w:color="auto"/>
        <w:right w:val="none" w:sz="0" w:space="0" w:color="auto"/>
      </w:divBdr>
    </w:div>
    <w:div w:id="2051761474">
      <w:bodyDiv w:val="1"/>
      <w:marLeft w:val="0"/>
      <w:marRight w:val="0"/>
      <w:marTop w:val="0"/>
      <w:marBottom w:val="0"/>
      <w:divBdr>
        <w:top w:val="none" w:sz="0" w:space="0" w:color="auto"/>
        <w:left w:val="none" w:sz="0" w:space="0" w:color="auto"/>
        <w:bottom w:val="none" w:sz="0" w:space="0" w:color="auto"/>
        <w:right w:val="none" w:sz="0" w:space="0" w:color="auto"/>
      </w:divBdr>
    </w:div>
    <w:div w:id="2075348806">
      <w:bodyDiv w:val="1"/>
      <w:marLeft w:val="0"/>
      <w:marRight w:val="0"/>
      <w:marTop w:val="0"/>
      <w:marBottom w:val="0"/>
      <w:divBdr>
        <w:top w:val="none" w:sz="0" w:space="0" w:color="auto"/>
        <w:left w:val="none" w:sz="0" w:space="0" w:color="auto"/>
        <w:bottom w:val="none" w:sz="0" w:space="0" w:color="auto"/>
        <w:right w:val="none" w:sz="0" w:space="0" w:color="auto"/>
      </w:divBdr>
    </w:div>
    <w:div w:id="209335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service-details/connect-with-your-local-masshire-workforce-board" TargetMode="External"/><Relationship Id="rId3" Type="http://schemas.openxmlformats.org/officeDocument/2006/relationships/settings" Target="settings.xml"/><Relationship Id="rId7" Type="http://schemas.openxmlformats.org/officeDocument/2006/relationships/hyperlink" Target="https://commcorp.tfaforms.net/32887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ommcorp.org/available-funding/" TargetMode="External"/><Relationship Id="rId4" Type="http://schemas.openxmlformats.org/officeDocument/2006/relationships/webSettings" Target="webSettings.xml"/><Relationship Id="rId9" Type="http://schemas.openxmlformats.org/officeDocument/2006/relationships/hyperlink" Target="https://www.mass.gov/service-details/mrc-key-cont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Commonwealth Corporation</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Rowland</dc:creator>
  <cp:keywords/>
  <dc:description/>
  <cp:lastModifiedBy>Anthony Britt</cp:lastModifiedBy>
  <cp:revision>13</cp:revision>
  <dcterms:created xsi:type="dcterms:W3CDTF">2019-11-22T22:04:00Z</dcterms:created>
  <dcterms:modified xsi:type="dcterms:W3CDTF">2021-09-24T15:30:00Z</dcterms:modified>
</cp:coreProperties>
</file>